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4E8" w:rsidRPr="001B29B3" w:rsidRDefault="001D0F88" w:rsidP="001D0F88">
      <w:pPr>
        <w:spacing w:after="0"/>
        <w:jc w:val="center"/>
        <w:rPr>
          <w:rFonts w:ascii="Times New Roman" w:hAnsi="Times New Roman" w:cs="Times New Roman"/>
          <w:b/>
          <w:sz w:val="26"/>
          <w:szCs w:val="26"/>
        </w:rPr>
      </w:pPr>
      <w:r w:rsidRPr="001B29B3">
        <w:rPr>
          <w:rFonts w:ascii="Times New Roman" w:hAnsi="Times New Roman" w:cs="Times New Roman"/>
          <w:b/>
          <w:sz w:val="26"/>
          <w:szCs w:val="26"/>
        </w:rPr>
        <w:t>Информация</w:t>
      </w:r>
    </w:p>
    <w:p w:rsidR="001D0F88" w:rsidRPr="001B29B3" w:rsidRDefault="001D0F88" w:rsidP="001D0F88">
      <w:pPr>
        <w:spacing w:after="0"/>
        <w:jc w:val="center"/>
        <w:rPr>
          <w:rFonts w:ascii="Times New Roman" w:hAnsi="Times New Roman" w:cs="Times New Roman"/>
          <w:b/>
          <w:sz w:val="26"/>
          <w:szCs w:val="26"/>
        </w:rPr>
      </w:pPr>
      <w:r w:rsidRPr="001B29B3">
        <w:rPr>
          <w:rFonts w:ascii="Times New Roman" w:hAnsi="Times New Roman" w:cs="Times New Roman"/>
          <w:b/>
          <w:sz w:val="26"/>
          <w:szCs w:val="26"/>
        </w:rPr>
        <w:t xml:space="preserve">о выполнении постановления Правительства Ханты-Мансийского автономного округа - Югры от </w:t>
      </w:r>
      <w:r w:rsidR="007D518B">
        <w:rPr>
          <w:rFonts w:ascii="Times New Roman" w:hAnsi="Times New Roman" w:cs="Times New Roman"/>
          <w:b/>
          <w:sz w:val="26"/>
          <w:szCs w:val="26"/>
        </w:rPr>
        <w:t>27</w:t>
      </w:r>
      <w:r w:rsidRPr="001B29B3">
        <w:rPr>
          <w:rFonts w:ascii="Times New Roman" w:hAnsi="Times New Roman" w:cs="Times New Roman"/>
          <w:b/>
          <w:sz w:val="26"/>
          <w:szCs w:val="26"/>
        </w:rPr>
        <w:t xml:space="preserve"> декабря 201</w:t>
      </w:r>
      <w:r w:rsidR="007D518B">
        <w:rPr>
          <w:rFonts w:ascii="Times New Roman" w:hAnsi="Times New Roman" w:cs="Times New Roman"/>
          <w:b/>
          <w:sz w:val="26"/>
          <w:szCs w:val="26"/>
        </w:rPr>
        <w:t>9</w:t>
      </w:r>
      <w:r w:rsidRPr="001B29B3">
        <w:rPr>
          <w:rFonts w:ascii="Times New Roman" w:hAnsi="Times New Roman" w:cs="Times New Roman"/>
          <w:b/>
          <w:sz w:val="26"/>
          <w:szCs w:val="26"/>
        </w:rPr>
        <w:t xml:space="preserve"> года</w:t>
      </w:r>
    </w:p>
    <w:p w:rsidR="001D0F88" w:rsidRPr="001B29B3" w:rsidRDefault="001D0F88" w:rsidP="001D0F88">
      <w:pPr>
        <w:spacing w:after="0"/>
        <w:jc w:val="center"/>
        <w:rPr>
          <w:rFonts w:ascii="Times New Roman" w:hAnsi="Times New Roman" w:cs="Times New Roman"/>
          <w:b/>
          <w:sz w:val="26"/>
          <w:szCs w:val="26"/>
        </w:rPr>
      </w:pPr>
      <w:r w:rsidRPr="001B29B3">
        <w:rPr>
          <w:rFonts w:ascii="Times New Roman" w:hAnsi="Times New Roman" w:cs="Times New Roman"/>
          <w:b/>
          <w:sz w:val="26"/>
          <w:szCs w:val="26"/>
        </w:rPr>
        <w:t xml:space="preserve">№ </w:t>
      </w:r>
      <w:r w:rsidR="007D518B">
        <w:rPr>
          <w:rFonts w:ascii="Times New Roman" w:hAnsi="Times New Roman" w:cs="Times New Roman"/>
          <w:b/>
          <w:sz w:val="26"/>
          <w:szCs w:val="26"/>
        </w:rPr>
        <w:t>531</w:t>
      </w:r>
      <w:r w:rsidRPr="001B29B3">
        <w:rPr>
          <w:rFonts w:ascii="Times New Roman" w:hAnsi="Times New Roman" w:cs="Times New Roman"/>
          <w:b/>
          <w:sz w:val="26"/>
          <w:szCs w:val="26"/>
        </w:rPr>
        <w:t>-п «О мерах по реализации Закона Ханты-Мансийского автономного округа - Югры «О бюджете Ханты-Мансийского автономного округа - Югры на 20</w:t>
      </w:r>
      <w:r w:rsidR="007D518B">
        <w:rPr>
          <w:rFonts w:ascii="Times New Roman" w:hAnsi="Times New Roman" w:cs="Times New Roman"/>
          <w:b/>
          <w:sz w:val="26"/>
          <w:szCs w:val="26"/>
        </w:rPr>
        <w:t>20</w:t>
      </w:r>
      <w:r w:rsidRPr="001B29B3">
        <w:rPr>
          <w:rFonts w:ascii="Times New Roman" w:hAnsi="Times New Roman" w:cs="Times New Roman"/>
          <w:b/>
          <w:sz w:val="26"/>
          <w:szCs w:val="26"/>
        </w:rPr>
        <w:t xml:space="preserve"> год</w:t>
      </w:r>
      <w:r w:rsidR="004E0303">
        <w:rPr>
          <w:rFonts w:ascii="Times New Roman" w:hAnsi="Times New Roman" w:cs="Times New Roman"/>
          <w:b/>
          <w:sz w:val="26"/>
          <w:szCs w:val="26"/>
        </w:rPr>
        <w:t xml:space="preserve"> и на плановый период 20</w:t>
      </w:r>
      <w:r w:rsidR="00230DE4">
        <w:rPr>
          <w:rFonts w:ascii="Times New Roman" w:hAnsi="Times New Roman" w:cs="Times New Roman"/>
          <w:b/>
          <w:sz w:val="26"/>
          <w:szCs w:val="26"/>
        </w:rPr>
        <w:t>2</w:t>
      </w:r>
      <w:r w:rsidR="007D518B">
        <w:rPr>
          <w:rFonts w:ascii="Times New Roman" w:hAnsi="Times New Roman" w:cs="Times New Roman"/>
          <w:b/>
          <w:sz w:val="26"/>
          <w:szCs w:val="26"/>
        </w:rPr>
        <w:t>1</w:t>
      </w:r>
      <w:r w:rsidR="004E0303">
        <w:rPr>
          <w:rFonts w:ascii="Times New Roman" w:hAnsi="Times New Roman" w:cs="Times New Roman"/>
          <w:b/>
          <w:sz w:val="26"/>
          <w:szCs w:val="26"/>
        </w:rPr>
        <w:t xml:space="preserve"> и 20</w:t>
      </w:r>
      <w:r w:rsidR="00230DE4">
        <w:rPr>
          <w:rFonts w:ascii="Times New Roman" w:hAnsi="Times New Roman" w:cs="Times New Roman"/>
          <w:b/>
          <w:sz w:val="26"/>
          <w:szCs w:val="26"/>
        </w:rPr>
        <w:t>2</w:t>
      </w:r>
      <w:r w:rsidR="007D518B">
        <w:rPr>
          <w:rFonts w:ascii="Times New Roman" w:hAnsi="Times New Roman" w:cs="Times New Roman"/>
          <w:b/>
          <w:sz w:val="26"/>
          <w:szCs w:val="26"/>
        </w:rPr>
        <w:t>2</w:t>
      </w:r>
      <w:r w:rsidR="004E0303">
        <w:rPr>
          <w:rFonts w:ascii="Times New Roman" w:hAnsi="Times New Roman" w:cs="Times New Roman"/>
          <w:b/>
          <w:sz w:val="26"/>
          <w:szCs w:val="26"/>
        </w:rPr>
        <w:t xml:space="preserve"> годов</w:t>
      </w:r>
      <w:r w:rsidRPr="001B29B3">
        <w:rPr>
          <w:rFonts w:ascii="Times New Roman" w:hAnsi="Times New Roman" w:cs="Times New Roman"/>
          <w:b/>
          <w:sz w:val="26"/>
          <w:szCs w:val="26"/>
        </w:rPr>
        <w:t>» за 20</w:t>
      </w:r>
      <w:r w:rsidR="007D518B">
        <w:rPr>
          <w:rFonts w:ascii="Times New Roman" w:hAnsi="Times New Roman" w:cs="Times New Roman"/>
          <w:b/>
          <w:sz w:val="26"/>
          <w:szCs w:val="26"/>
        </w:rPr>
        <w:t>20</w:t>
      </w:r>
      <w:r w:rsidRPr="001B29B3">
        <w:rPr>
          <w:rFonts w:ascii="Times New Roman" w:hAnsi="Times New Roman" w:cs="Times New Roman"/>
          <w:b/>
          <w:sz w:val="26"/>
          <w:szCs w:val="26"/>
        </w:rPr>
        <w:t xml:space="preserve"> год</w:t>
      </w:r>
    </w:p>
    <w:p w:rsidR="001D0F88" w:rsidRPr="001B29B3" w:rsidRDefault="001D0F88" w:rsidP="001D0F88">
      <w:pPr>
        <w:spacing w:after="0"/>
        <w:jc w:val="center"/>
        <w:rPr>
          <w:rFonts w:ascii="Times New Roman" w:hAnsi="Times New Roman" w:cs="Times New Roman"/>
          <w:b/>
          <w:sz w:val="26"/>
          <w:szCs w:val="26"/>
        </w:rPr>
      </w:pPr>
    </w:p>
    <w:tbl>
      <w:tblPr>
        <w:tblStyle w:val="a3"/>
        <w:tblW w:w="0" w:type="auto"/>
        <w:tblLook w:val="04A0" w:firstRow="1" w:lastRow="0" w:firstColumn="1" w:lastColumn="0" w:noHBand="0" w:noVBand="1"/>
      </w:tblPr>
      <w:tblGrid>
        <w:gridCol w:w="1478"/>
        <w:gridCol w:w="7051"/>
        <w:gridCol w:w="6597"/>
      </w:tblGrid>
      <w:tr w:rsidR="001D0F88" w:rsidTr="004375BF">
        <w:tc>
          <w:tcPr>
            <w:tcW w:w="1485" w:type="dxa"/>
            <w:tcBorders>
              <w:bottom w:val="single" w:sz="4" w:space="0" w:color="auto"/>
            </w:tcBorders>
            <w:vAlign w:val="center"/>
          </w:tcPr>
          <w:p w:rsidR="001D0F88" w:rsidRPr="001D0F88" w:rsidRDefault="001D0F88" w:rsidP="007D518B">
            <w:pPr>
              <w:jc w:val="center"/>
              <w:rPr>
                <w:rFonts w:ascii="Times New Roman" w:hAnsi="Times New Roman" w:cs="Times New Roman"/>
                <w:sz w:val="20"/>
                <w:szCs w:val="20"/>
              </w:rPr>
            </w:pPr>
            <w:r w:rsidRPr="001D0F88">
              <w:rPr>
                <w:rFonts w:ascii="Times New Roman" w:hAnsi="Times New Roman" w:cs="Times New Roman"/>
                <w:sz w:val="20"/>
                <w:szCs w:val="20"/>
              </w:rPr>
              <w:t xml:space="preserve">№ п/п постановления Правительства Ханты-Мансийского автономного округа - Югры от </w:t>
            </w:r>
            <w:r w:rsidR="00E372DE">
              <w:rPr>
                <w:rFonts w:ascii="Times New Roman" w:hAnsi="Times New Roman" w:cs="Times New Roman"/>
                <w:sz w:val="20"/>
                <w:szCs w:val="20"/>
              </w:rPr>
              <w:t>2</w:t>
            </w:r>
            <w:r w:rsidR="007D518B">
              <w:rPr>
                <w:rFonts w:ascii="Times New Roman" w:hAnsi="Times New Roman" w:cs="Times New Roman"/>
                <w:sz w:val="20"/>
                <w:szCs w:val="20"/>
              </w:rPr>
              <w:t>7</w:t>
            </w:r>
            <w:r w:rsidRPr="001D0F88">
              <w:rPr>
                <w:rFonts w:ascii="Times New Roman" w:hAnsi="Times New Roman" w:cs="Times New Roman"/>
                <w:sz w:val="20"/>
                <w:szCs w:val="20"/>
              </w:rPr>
              <w:t xml:space="preserve"> декабря </w:t>
            </w:r>
            <w:r w:rsidR="00E372DE">
              <w:rPr>
                <w:rFonts w:ascii="Times New Roman" w:hAnsi="Times New Roman" w:cs="Times New Roman"/>
                <w:sz w:val="20"/>
                <w:szCs w:val="20"/>
              </w:rPr>
              <w:t>201</w:t>
            </w:r>
            <w:r w:rsidR="007D518B">
              <w:rPr>
                <w:rFonts w:ascii="Times New Roman" w:hAnsi="Times New Roman" w:cs="Times New Roman"/>
                <w:sz w:val="20"/>
                <w:szCs w:val="20"/>
              </w:rPr>
              <w:t>9</w:t>
            </w:r>
            <w:r w:rsidRPr="001D0F88">
              <w:rPr>
                <w:rFonts w:ascii="Times New Roman" w:hAnsi="Times New Roman" w:cs="Times New Roman"/>
                <w:sz w:val="20"/>
                <w:szCs w:val="20"/>
              </w:rPr>
              <w:t xml:space="preserve"> года № </w:t>
            </w:r>
            <w:r w:rsidR="007D518B">
              <w:rPr>
                <w:rFonts w:ascii="Times New Roman" w:hAnsi="Times New Roman" w:cs="Times New Roman"/>
                <w:sz w:val="20"/>
                <w:szCs w:val="20"/>
              </w:rPr>
              <w:t>531</w:t>
            </w:r>
            <w:r w:rsidRPr="001D0F88">
              <w:rPr>
                <w:rFonts w:ascii="Times New Roman" w:hAnsi="Times New Roman" w:cs="Times New Roman"/>
                <w:sz w:val="20"/>
                <w:szCs w:val="20"/>
              </w:rPr>
              <w:t>-п</w:t>
            </w:r>
          </w:p>
        </w:tc>
        <w:tc>
          <w:tcPr>
            <w:tcW w:w="7128" w:type="dxa"/>
            <w:tcBorders>
              <w:bottom w:val="single" w:sz="4" w:space="0" w:color="auto"/>
            </w:tcBorders>
            <w:vAlign w:val="center"/>
          </w:tcPr>
          <w:p w:rsidR="001D0F88" w:rsidRPr="001D0F88" w:rsidRDefault="001D0F88" w:rsidP="001F6FD1">
            <w:pPr>
              <w:jc w:val="center"/>
              <w:rPr>
                <w:rFonts w:ascii="Times New Roman" w:hAnsi="Times New Roman" w:cs="Times New Roman"/>
                <w:sz w:val="20"/>
                <w:szCs w:val="20"/>
              </w:rPr>
            </w:pPr>
            <w:r>
              <w:rPr>
                <w:rFonts w:ascii="Times New Roman" w:hAnsi="Times New Roman" w:cs="Times New Roman"/>
                <w:sz w:val="20"/>
                <w:szCs w:val="20"/>
              </w:rPr>
              <w:t>Содержание</w:t>
            </w:r>
          </w:p>
        </w:tc>
        <w:tc>
          <w:tcPr>
            <w:tcW w:w="6663" w:type="dxa"/>
            <w:tcBorders>
              <w:bottom w:val="single" w:sz="4" w:space="0" w:color="auto"/>
            </w:tcBorders>
            <w:vAlign w:val="center"/>
          </w:tcPr>
          <w:p w:rsidR="001D0F88" w:rsidRPr="001D0F88" w:rsidRDefault="001F6FD1" w:rsidP="001F6FD1">
            <w:pPr>
              <w:jc w:val="center"/>
              <w:rPr>
                <w:rFonts w:ascii="Times New Roman" w:hAnsi="Times New Roman" w:cs="Times New Roman"/>
                <w:sz w:val="20"/>
                <w:szCs w:val="20"/>
              </w:rPr>
            </w:pPr>
            <w:r>
              <w:rPr>
                <w:rFonts w:ascii="Times New Roman" w:hAnsi="Times New Roman" w:cs="Times New Roman"/>
                <w:sz w:val="20"/>
                <w:szCs w:val="20"/>
              </w:rPr>
              <w:t>Исполнение (причина неисполнения)</w:t>
            </w:r>
          </w:p>
        </w:tc>
      </w:tr>
      <w:tr w:rsidR="00B836AE" w:rsidTr="0031014C">
        <w:tc>
          <w:tcPr>
            <w:tcW w:w="1485" w:type="dxa"/>
          </w:tcPr>
          <w:p w:rsidR="001F6FD1" w:rsidRPr="001D0F88" w:rsidRDefault="001F6FD1" w:rsidP="00A63E32">
            <w:pPr>
              <w:jc w:val="center"/>
              <w:rPr>
                <w:rFonts w:ascii="Times New Roman" w:hAnsi="Times New Roman" w:cs="Times New Roman"/>
                <w:sz w:val="20"/>
                <w:szCs w:val="20"/>
              </w:rPr>
            </w:pPr>
            <w:r>
              <w:rPr>
                <w:rFonts w:ascii="Times New Roman" w:hAnsi="Times New Roman" w:cs="Times New Roman"/>
                <w:sz w:val="20"/>
                <w:szCs w:val="20"/>
              </w:rPr>
              <w:t>1</w:t>
            </w:r>
          </w:p>
        </w:tc>
        <w:tc>
          <w:tcPr>
            <w:tcW w:w="7128" w:type="dxa"/>
          </w:tcPr>
          <w:p w:rsidR="001F6FD1" w:rsidRPr="001D0F88" w:rsidRDefault="001F6FD1" w:rsidP="00A63E32">
            <w:pPr>
              <w:jc w:val="center"/>
              <w:rPr>
                <w:rFonts w:ascii="Times New Roman" w:hAnsi="Times New Roman" w:cs="Times New Roman"/>
                <w:sz w:val="20"/>
                <w:szCs w:val="20"/>
              </w:rPr>
            </w:pPr>
            <w:r>
              <w:rPr>
                <w:rFonts w:ascii="Times New Roman" w:hAnsi="Times New Roman" w:cs="Times New Roman"/>
                <w:sz w:val="20"/>
                <w:szCs w:val="20"/>
              </w:rPr>
              <w:t>2</w:t>
            </w:r>
          </w:p>
        </w:tc>
        <w:tc>
          <w:tcPr>
            <w:tcW w:w="6663" w:type="dxa"/>
          </w:tcPr>
          <w:p w:rsidR="001F6FD1" w:rsidRPr="001D0F88" w:rsidRDefault="001F6FD1" w:rsidP="00A63E32">
            <w:pPr>
              <w:jc w:val="center"/>
              <w:rPr>
                <w:rFonts w:ascii="Times New Roman" w:hAnsi="Times New Roman" w:cs="Times New Roman"/>
                <w:sz w:val="20"/>
                <w:szCs w:val="20"/>
              </w:rPr>
            </w:pPr>
            <w:r>
              <w:rPr>
                <w:rFonts w:ascii="Times New Roman" w:hAnsi="Times New Roman" w:cs="Times New Roman"/>
                <w:sz w:val="20"/>
                <w:szCs w:val="20"/>
              </w:rPr>
              <w:t>3</w:t>
            </w:r>
          </w:p>
        </w:tc>
      </w:tr>
      <w:tr w:rsidR="0012623D" w:rsidTr="00484713">
        <w:trPr>
          <w:trHeight w:val="835"/>
        </w:trPr>
        <w:tc>
          <w:tcPr>
            <w:tcW w:w="1485" w:type="dxa"/>
          </w:tcPr>
          <w:p w:rsidR="0012623D" w:rsidRDefault="007D518B" w:rsidP="001D0F88">
            <w:pPr>
              <w:jc w:val="center"/>
              <w:rPr>
                <w:rFonts w:ascii="Times New Roman" w:hAnsi="Times New Roman" w:cs="Times New Roman"/>
                <w:sz w:val="20"/>
                <w:szCs w:val="20"/>
              </w:rPr>
            </w:pPr>
            <w:r>
              <w:rPr>
                <w:rFonts w:ascii="Times New Roman" w:hAnsi="Times New Roman" w:cs="Times New Roman"/>
                <w:sz w:val="20"/>
                <w:szCs w:val="20"/>
              </w:rPr>
              <w:t>2</w:t>
            </w:r>
            <w:r w:rsidR="0012623D">
              <w:rPr>
                <w:rFonts w:ascii="Times New Roman" w:hAnsi="Times New Roman" w:cs="Times New Roman"/>
                <w:sz w:val="20"/>
                <w:szCs w:val="20"/>
              </w:rPr>
              <w:t>.</w:t>
            </w:r>
          </w:p>
        </w:tc>
        <w:tc>
          <w:tcPr>
            <w:tcW w:w="7128" w:type="dxa"/>
          </w:tcPr>
          <w:p w:rsidR="0012623D" w:rsidRDefault="007D518B" w:rsidP="00B8747F">
            <w:pPr>
              <w:autoSpaceDE w:val="0"/>
              <w:autoSpaceDN w:val="0"/>
              <w:adjustRightInd w:val="0"/>
              <w:jc w:val="both"/>
              <w:rPr>
                <w:rFonts w:ascii="Times New Roman" w:hAnsi="Times New Roman" w:cs="Times New Roman"/>
                <w:sz w:val="20"/>
                <w:szCs w:val="20"/>
              </w:rPr>
            </w:pPr>
            <w:r w:rsidRPr="007D518B">
              <w:rPr>
                <w:rFonts w:ascii="Times New Roman" w:hAnsi="Times New Roman" w:cs="Times New Roman"/>
                <w:sz w:val="20"/>
                <w:szCs w:val="20"/>
              </w:rPr>
              <w:t xml:space="preserve">В целях повышения уровня администрирования доходов при исполнении бюджета автономного округа, а также в целях оперативного формирования ожидаемой оценки поступления доходов в бюджет автономного округа главным администраторам доходов бюджета автономного округа представлять в Департамент финансов </w:t>
            </w:r>
            <w:r w:rsidR="00B8747F">
              <w:rPr>
                <w:rFonts w:ascii="Times New Roman" w:hAnsi="Times New Roman" w:cs="Times New Roman"/>
                <w:sz w:val="20"/>
                <w:szCs w:val="20"/>
              </w:rPr>
              <w:t>Ханты-Мансийского автономного округа – Югры (далее также – автономного округа)</w:t>
            </w:r>
            <w:r w:rsidRPr="007D518B">
              <w:rPr>
                <w:rFonts w:ascii="Times New Roman" w:hAnsi="Times New Roman" w:cs="Times New Roman"/>
                <w:sz w:val="20"/>
                <w:szCs w:val="20"/>
              </w:rPr>
              <w:t>:</w:t>
            </w:r>
          </w:p>
          <w:p w:rsidR="005931BC" w:rsidRDefault="005931BC" w:rsidP="005931BC">
            <w:pPr>
              <w:pStyle w:val="ConsPlusNormal"/>
              <w:jc w:val="both"/>
            </w:pPr>
            <w:r w:rsidRPr="0012623D">
              <w:t xml:space="preserve">а) </w:t>
            </w:r>
            <w:r>
              <w:t>ежемесячно до 15-го числа месяца, следующего за отчетным, ожидаемую оценку поступлений доходов в 2020 году с разбивкой по месяцам с учетом фактического поступления за истекший период в разрезе кодов классификации доходов, администрируемых соответствующим главным администратором доходов;</w:t>
            </w: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p w:rsidR="005931BC" w:rsidRDefault="005931BC" w:rsidP="00B8747F">
            <w:pPr>
              <w:autoSpaceDE w:val="0"/>
              <w:autoSpaceDN w:val="0"/>
              <w:adjustRightInd w:val="0"/>
              <w:jc w:val="both"/>
              <w:rPr>
                <w:rFonts w:ascii="Times New Roman" w:hAnsi="Times New Roman" w:cs="Times New Roman"/>
                <w:sz w:val="20"/>
                <w:szCs w:val="20"/>
              </w:rPr>
            </w:pPr>
          </w:p>
        </w:tc>
        <w:tc>
          <w:tcPr>
            <w:tcW w:w="6663" w:type="dxa"/>
          </w:tcPr>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B8747F" w:rsidRDefault="00B8747F" w:rsidP="00B60F40">
            <w:pPr>
              <w:rPr>
                <w:rFonts w:ascii="Times New Roman" w:hAnsi="Times New Roman" w:cs="Times New Roman"/>
                <w:sz w:val="20"/>
                <w:szCs w:val="20"/>
              </w:rPr>
            </w:pPr>
          </w:p>
          <w:p w:rsidR="00B8747F" w:rsidRDefault="00B8747F" w:rsidP="00B60F40">
            <w:pPr>
              <w:rPr>
                <w:rFonts w:ascii="Times New Roman" w:hAnsi="Times New Roman" w:cs="Times New Roman"/>
                <w:sz w:val="20"/>
                <w:szCs w:val="20"/>
              </w:rPr>
            </w:pPr>
          </w:p>
          <w:p w:rsidR="00B8747F" w:rsidRPr="00B8747F" w:rsidRDefault="00B8747F" w:rsidP="00B8747F">
            <w:pPr>
              <w:ind w:firstLine="459"/>
              <w:rPr>
                <w:rFonts w:ascii="Times New Roman" w:hAnsi="Times New Roman" w:cs="Times New Roman"/>
                <w:sz w:val="20"/>
                <w:szCs w:val="20"/>
              </w:rPr>
            </w:pPr>
            <w:r w:rsidRPr="00B8747F">
              <w:rPr>
                <w:rFonts w:ascii="Times New Roman" w:hAnsi="Times New Roman" w:cs="Times New Roman"/>
                <w:sz w:val="20"/>
                <w:szCs w:val="20"/>
              </w:rPr>
              <w:t>С нарушением срока информация</w:t>
            </w:r>
            <w:r>
              <w:rPr>
                <w:rFonts w:ascii="Times New Roman" w:hAnsi="Times New Roman" w:cs="Times New Roman"/>
                <w:sz w:val="20"/>
                <w:szCs w:val="20"/>
              </w:rPr>
              <w:t xml:space="preserve"> по отдельным отчетным периодам</w:t>
            </w:r>
            <w:r w:rsidRPr="00B8747F">
              <w:rPr>
                <w:rFonts w:ascii="Times New Roman" w:hAnsi="Times New Roman" w:cs="Times New Roman"/>
                <w:sz w:val="20"/>
                <w:szCs w:val="20"/>
              </w:rPr>
              <w:t xml:space="preserve"> предоставлялась следующими главными администраторами доходов бюджета автономного округа:</w:t>
            </w:r>
          </w:p>
          <w:p w:rsidR="00B8747F" w:rsidRPr="00B8747F" w:rsidRDefault="00B8747F" w:rsidP="00CB4780">
            <w:pPr>
              <w:ind w:firstLine="459"/>
              <w:rPr>
                <w:rFonts w:ascii="Times New Roman" w:hAnsi="Times New Roman" w:cs="Times New Roman"/>
                <w:sz w:val="20"/>
                <w:szCs w:val="20"/>
              </w:rPr>
            </w:pPr>
            <w:r w:rsidRPr="00B8747F">
              <w:rPr>
                <w:rFonts w:ascii="Times New Roman" w:hAnsi="Times New Roman" w:cs="Times New Roman"/>
                <w:sz w:val="20"/>
                <w:szCs w:val="20"/>
              </w:rPr>
              <w:t>1.</w:t>
            </w:r>
            <w:r w:rsidRPr="00B8747F">
              <w:rPr>
                <w:rFonts w:ascii="Times New Roman" w:hAnsi="Times New Roman" w:cs="Times New Roman"/>
                <w:sz w:val="20"/>
                <w:szCs w:val="20"/>
              </w:rPr>
              <w:tab/>
              <w:t>Дума автономного округа;</w:t>
            </w:r>
          </w:p>
          <w:p w:rsidR="00B8747F" w:rsidRPr="00B8747F" w:rsidRDefault="00B8747F" w:rsidP="00CB4780">
            <w:pPr>
              <w:ind w:firstLine="459"/>
              <w:rPr>
                <w:rFonts w:ascii="Times New Roman" w:hAnsi="Times New Roman" w:cs="Times New Roman"/>
                <w:sz w:val="20"/>
                <w:szCs w:val="20"/>
              </w:rPr>
            </w:pPr>
            <w:r w:rsidRPr="00B8747F">
              <w:rPr>
                <w:rFonts w:ascii="Times New Roman" w:hAnsi="Times New Roman" w:cs="Times New Roman"/>
                <w:sz w:val="20"/>
                <w:szCs w:val="20"/>
              </w:rPr>
              <w:t>2.</w:t>
            </w:r>
            <w:r w:rsidRPr="00B8747F">
              <w:rPr>
                <w:rFonts w:ascii="Times New Roman" w:hAnsi="Times New Roman" w:cs="Times New Roman"/>
                <w:sz w:val="20"/>
                <w:szCs w:val="20"/>
              </w:rPr>
              <w:tab/>
              <w:t>Представительство автономного округа при Правительстве Российской Федерации и в субъектах Российской Федерации;</w:t>
            </w:r>
          </w:p>
          <w:p w:rsidR="00B8747F" w:rsidRPr="00B8747F" w:rsidRDefault="00B8747F" w:rsidP="00CB4780">
            <w:pPr>
              <w:ind w:firstLine="459"/>
              <w:rPr>
                <w:rFonts w:ascii="Times New Roman" w:hAnsi="Times New Roman" w:cs="Times New Roman"/>
                <w:sz w:val="20"/>
                <w:szCs w:val="20"/>
              </w:rPr>
            </w:pPr>
            <w:r w:rsidRPr="00B8747F">
              <w:rPr>
                <w:rFonts w:ascii="Times New Roman" w:hAnsi="Times New Roman" w:cs="Times New Roman"/>
                <w:sz w:val="20"/>
                <w:szCs w:val="20"/>
              </w:rPr>
              <w:t>3.</w:t>
            </w:r>
            <w:r w:rsidRPr="00B8747F">
              <w:rPr>
                <w:rFonts w:ascii="Times New Roman" w:hAnsi="Times New Roman" w:cs="Times New Roman"/>
                <w:sz w:val="20"/>
                <w:szCs w:val="20"/>
              </w:rPr>
              <w:tab/>
              <w:t>Региональная служба по тарифам автономного округа;</w:t>
            </w:r>
          </w:p>
          <w:p w:rsidR="00B8747F" w:rsidRPr="00B8747F" w:rsidRDefault="00B8747F" w:rsidP="00CB4780">
            <w:pPr>
              <w:ind w:firstLine="459"/>
              <w:rPr>
                <w:rFonts w:ascii="Times New Roman" w:hAnsi="Times New Roman" w:cs="Times New Roman"/>
                <w:sz w:val="20"/>
                <w:szCs w:val="20"/>
              </w:rPr>
            </w:pPr>
            <w:r w:rsidRPr="00B8747F">
              <w:rPr>
                <w:rFonts w:ascii="Times New Roman" w:hAnsi="Times New Roman" w:cs="Times New Roman"/>
                <w:sz w:val="20"/>
                <w:szCs w:val="20"/>
              </w:rPr>
              <w:t>4.</w:t>
            </w:r>
            <w:r w:rsidRPr="00B8747F">
              <w:rPr>
                <w:rFonts w:ascii="Times New Roman" w:hAnsi="Times New Roman" w:cs="Times New Roman"/>
                <w:sz w:val="20"/>
                <w:szCs w:val="20"/>
              </w:rPr>
              <w:tab/>
              <w:t>Департамент культуры автономного округа;</w:t>
            </w:r>
          </w:p>
          <w:p w:rsidR="00B8747F" w:rsidRPr="00B8747F" w:rsidRDefault="00B8747F" w:rsidP="00CB4780">
            <w:pPr>
              <w:ind w:firstLine="459"/>
              <w:rPr>
                <w:rFonts w:ascii="Times New Roman" w:hAnsi="Times New Roman" w:cs="Times New Roman"/>
                <w:sz w:val="20"/>
                <w:szCs w:val="20"/>
              </w:rPr>
            </w:pPr>
            <w:r w:rsidRPr="00B8747F">
              <w:rPr>
                <w:rFonts w:ascii="Times New Roman" w:hAnsi="Times New Roman" w:cs="Times New Roman"/>
                <w:sz w:val="20"/>
                <w:szCs w:val="20"/>
              </w:rPr>
              <w:t>5.</w:t>
            </w:r>
            <w:r w:rsidRPr="00B8747F">
              <w:rPr>
                <w:rFonts w:ascii="Times New Roman" w:hAnsi="Times New Roman" w:cs="Times New Roman"/>
                <w:sz w:val="20"/>
                <w:szCs w:val="20"/>
              </w:rPr>
              <w:tab/>
              <w:t>Счетная палата автономного округа;</w:t>
            </w:r>
          </w:p>
          <w:p w:rsidR="00B8747F" w:rsidRPr="00B8747F" w:rsidRDefault="00B8747F" w:rsidP="00CB4780">
            <w:pPr>
              <w:ind w:firstLine="459"/>
              <w:rPr>
                <w:rFonts w:ascii="Times New Roman" w:hAnsi="Times New Roman" w:cs="Times New Roman"/>
                <w:sz w:val="20"/>
                <w:szCs w:val="20"/>
              </w:rPr>
            </w:pPr>
            <w:r w:rsidRPr="00B8747F">
              <w:rPr>
                <w:rFonts w:ascii="Times New Roman" w:hAnsi="Times New Roman" w:cs="Times New Roman"/>
                <w:sz w:val="20"/>
                <w:szCs w:val="20"/>
              </w:rPr>
              <w:t>6.</w:t>
            </w:r>
            <w:r w:rsidRPr="00B8747F">
              <w:rPr>
                <w:rFonts w:ascii="Times New Roman" w:hAnsi="Times New Roman" w:cs="Times New Roman"/>
                <w:sz w:val="20"/>
                <w:szCs w:val="20"/>
              </w:rPr>
              <w:tab/>
              <w:t>Департамент гражданской защиты населения автономного округа;</w:t>
            </w:r>
          </w:p>
          <w:p w:rsidR="00B8747F" w:rsidRPr="00B8747F" w:rsidRDefault="00B8747F" w:rsidP="00CB4780">
            <w:pPr>
              <w:ind w:firstLine="459"/>
              <w:rPr>
                <w:rFonts w:ascii="Times New Roman" w:hAnsi="Times New Roman" w:cs="Times New Roman"/>
                <w:sz w:val="20"/>
                <w:szCs w:val="20"/>
              </w:rPr>
            </w:pPr>
            <w:r w:rsidRPr="00B8747F">
              <w:rPr>
                <w:rFonts w:ascii="Times New Roman" w:hAnsi="Times New Roman" w:cs="Times New Roman"/>
                <w:sz w:val="20"/>
                <w:szCs w:val="20"/>
              </w:rPr>
              <w:t>7.</w:t>
            </w:r>
            <w:r w:rsidRPr="00B8747F">
              <w:rPr>
                <w:rFonts w:ascii="Times New Roman" w:hAnsi="Times New Roman" w:cs="Times New Roman"/>
                <w:sz w:val="20"/>
                <w:szCs w:val="20"/>
              </w:rPr>
              <w:tab/>
              <w:t>Департамент внутренней политики автономного округа;</w:t>
            </w:r>
          </w:p>
          <w:p w:rsidR="00B8747F" w:rsidRPr="00B8747F" w:rsidRDefault="00B8747F" w:rsidP="00CB4780">
            <w:pPr>
              <w:ind w:firstLine="459"/>
              <w:rPr>
                <w:rFonts w:ascii="Times New Roman" w:hAnsi="Times New Roman" w:cs="Times New Roman"/>
                <w:sz w:val="20"/>
                <w:szCs w:val="20"/>
              </w:rPr>
            </w:pPr>
            <w:r w:rsidRPr="00B8747F">
              <w:rPr>
                <w:rFonts w:ascii="Times New Roman" w:hAnsi="Times New Roman" w:cs="Times New Roman"/>
                <w:sz w:val="20"/>
                <w:szCs w:val="20"/>
              </w:rPr>
              <w:t>8.</w:t>
            </w:r>
            <w:r w:rsidRPr="00B8747F">
              <w:rPr>
                <w:rFonts w:ascii="Times New Roman" w:hAnsi="Times New Roman" w:cs="Times New Roman"/>
                <w:sz w:val="20"/>
                <w:szCs w:val="20"/>
              </w:rPr>
              <w:tab/>
              <w:t>Департамент здравоохранения автономного округа;</w:t>
            </w:r>
          </w:p>
          <w:p w:rsidR="00B8747F" w:rsidRPr="00B8747F" w:rsidRDefault="00B8747F" w:rsidP="00CB4780">
            <w:pPr>
              <w:ind w:firstLine="459"/>
              <w:rPr>
                <w:rFonts w:ascii="Times New Roman" w:hAnsi="Times New Roman" w:cs="Times New Roman"/>
                <w:sz w:val="20"/>
                <w:szCs w:val="20"/>
              </w:rPr>
            </w:pPr>
            <w:r w:rsidRPr="00B8747F">
              <w:rPr>
                <w:rFonts w:ascii="Times New Roman" w:hAnsi="Times New Roman" w:cs="Times New Roman"/>
                <w:sz w:val="20"/>
                <w:szCs w:val="20"/>
              </w:rPr>
              <w:t>9.</w:t>
            </w:r>
            <w:r w:rsidRPr="00B8747F">
              <w:rPr>
                <w:rFonts w:ascii="Times New Roman" w:hAnsi="Times New Roman" w:cs="Times New Roman"/>
                <w:sz w:val="20"/>
                <w:szCs w:val="20"/>
              </w:rPr>
              <w:tab/>
              <w:t>Департамент государственной гражданской службы и кадровой политики автономного округа;</w:t>
            </w:r>
          </w:p>
          <w:p w:rsidR="00B8747F" w:rsidRPr="00B8747F" w:rsidRDefault="00B8747F" w:rsidP="00CB4780">
            <w:pPr>
              <w:tabs>
                <w:tab w:val="left" w:pos="743"/>
              </w:tabs>
              <w:ind w:firstLine="459"/>
              <w:rPr>
                <w:rFonts w:ascii="Times New Roman" w:hAnsi="Times New Roman" w:cs="Times New Roman"/>
                <w:sz w:val="20"/>
                <w:szCs w:val="20"/>
              </w:rPr>
            </w:pPr>
            <w:r w:rsidRPr="00B8747F">
              <w:rPr>
                <w:rFonts w:ascii="Times New Roman" w:hAnsi="Times New Roman" w:cs="Times New Roman"/>
                <w:sz w:val="20"/>
                <w:szCs w:val="20"/>
              </w:rPr>
              <w:lastRenderedPageBreak/>
              <w:t>10.</w:t>
            </w:r>
            <w:r w:rsidRPr="00B8747F">
              <w:rPr>
                <w:rFonts w:ascii="Times New Roman" w:hAnsi="Times New Roman" w:cs="Times New Roman"/>
                <w:sz w:val="20"/>
                <w:szCs w:val="20"/>
              </w:rPr>
              <w:tab/>
              <w:t>Аппарат Губернатора автономного округа;</w:t>
            </w:r>
          </w:p>
          <w:p w:rsidR="003D1104" w:rsidRPr="000048BE" w:rsidRDefault="003D1104" w:rsidP="00295DF3">
            <w:pPr>
              <w:ind w:firstLine="459"/>
              <w:rPr>
                <w:rFonts w:ascii="Times New Roman" w:hAnsi="Times New Roman" w:cs="Times New Roman"/>
                <w:sz w:val="20"/>
                <w:szCs w:val="20"/>
                <w:highlight w:val="yellow"/>
              </w:rPr>
            </w:pPr>
            <w:r>
              <w:rPr>
                <w:rFonts w:ascii="Times New Roman" w:hAnsi="Times New Roman" w:cs="Times New Roman"/>
                <w:sz w:val="20"/>
                <w:szCs w:val="20"/>
              </w:rPr>
              <w:t>Кроме того, С</w:t>
            </w:r>
            <w:r w:rsidR="00B8747F" w:rsidRPr="00B8747F">
              <w:rPr>
                <w:rFonts w:ascii="Times New Roman" w:hAnsi="Times New Roman" w:cs="Times New Roman"/>
                <w:sz w:val="20"/>
                <w:szCs w:val="20"/>
              </w:rPr>
              <w:t>лужб</w:t>
            </w:r>
            <w:r>
              <w:rPr>
                <w:rFonts w:ascii="Times New Roman" w:hAnsi="Times New Roman" w:cs="Times New Roman"/>
                <w:sz w:val="20"/>
                <w:szCs w:val="20"/>
              </w:rPr>
              <w:t>ой</w:t>
            </w:r>
            <w:r w:rsidR="00B8747F" w:rsidRPr="00B8747F">
              <w:rPr>
                <w:rFonts w:ascii="Times New Roman" w:hAnsi="Times New Roman" w:cs="Times New Roman"/>
                <w:sz w:val="20"/>
                <w:szCs w:val="20"/>
              </w:rPr>
              <w:t xml:space="preserve"> по контролю и надзору в сфере образования </w:t>
            </w:r>
            <w:r w:rsidR="00CB4780">
              <w:rPr>
                <w:rFonts w:ascii="Times New Roman" w:hAnsi="Times New Roman" w:cs="Times New Roman"/>
                <w:sz w:val="20"/>
                <w:szCs w:val="20"/>
              </w:rPr>
              <w:t>автономного округа</w:t>
            </w:r>
            <w:r w:rsidR="000D26F8">
              <w:rPr>
                <w:rFonts w:ascii="Times New Roman" w:hAnsi="Times New Roman" w:cs="Times New Roman"/>
                <w:sz w:val="20"/>
                <w:szCs w:val="20"/>
              </w:rPr>
              <w:t xml:space="preserve"> </w:t>
            </w:r>
            <w:r w:rsidR="000D26F8" w:rsidRPr="000D26F8">
              <w:rPr>
                <w:rFonts w:ascii="Times New Roman" w:hAnsi="Times New Roman" w:cs="Times New Roman"/>
                <w:sz w:val="20"/>
                <w:szCs w:val="20"/>
              </w:rPr>
              <w:t>не представлена информация по сроку до 15.12.2020.</w:t>
            </w:r>
          </w:p>
        </w:tc>
      </w:tr>
      <w:tr w:rsidR="00295DF3" w:rsidTr="0031014C">
        <w:trPr>
          <w:cantSplit/>
        </w:trPr>
        <w:tc>
          <w:tcPr>
            <w:tcW w:w="1485" w:type="dxa"/>
            <w:vMerge w:val="restart"/>
          </w:tcPr>
          <w:p w:rsidR="00295DF3" w:rsidRDefault="00295DF3" w:rsidP="00BD63B0">
            <w:pPr>
              <w:jc w:val="center"/>
              <w:rPr>
                <w:rFonts w:ascii="Times New Roman" w:hAnsi="Times New Roman" w:cs="Times New Roman"/>
                <w:sz w:val="20"/>
                <w:szCs w:val="20"/>
              </w:rPr>
            </w:pPr>
          </w:p>
        </w:tc>
        <w:tc>
          <w:tcPr>
            <w:tcW w:w="7128" w:type="dxa"/>
          </w:tcPr>
          <w:p w:rsidR="00295DF3" w:rsidRDefault="00295DF3" w:rsidP="00295DF3">
            <w:pPr>
              <w:pStyle w:val="ConsPlusNormal"/>
              <w:jc w:val="both"/>
            </w:pPr>
            <w:r>
              <w:t>б) ежеквартально до 15-го числа месяца, следующего за отчетным кварталом, информацию о причинах отклонения фактического поступления доходов в отчетном периоде текущего финансового года:</w:t>
            </w:r>
          </w:p>
          <w:p w:rsidR="00295DF3" w:rsidRDefault="00295DF3" w:rsidP="00295DF3">
            <w:pPr>
              <w:pStyle w:val="ConsPlusNormal"/>
              <w:jc w:val="both"/>
            </w:pPr>
            <w:r>
              <w:t>от фактического поступления доходов за аналогичный период прошедшего финансового года в разрезе кодов классификации доходов, администрируемых соответствующим главным администратором доходов;</w:t>
            </w:r>
          </w:p>
          <w:p w:rsidR="00295DF3" w:rsidRPr="0012623D" w:rsidRDefault="00295DF3" w:rsidP="00295DF3">
            <w:pPr>
              <w:pStyle w:val="ConsPlusNormal"/>
              <w:jc w:val="both"/>
            </w:pPr>
            <w:r>
              <w:t>от утвержденного (уточненного) плана на текущий финансовый год в разрезе кодов классификации доходов, администрируемых соответствующим главным администратором доходов;</w:t>
            </w:r>
          </w:p>
        </w:tc>
        <w:tc>
          <w:tcPr>
            <w:tcW w:w="6663" w:type="dxa"/>
          </w:tcPr>
          <w:p w:rsidR="00295DF3" w:rsidRPr="003D1104" w:rsidRDefault="00295DF3" w:rsidP="00295DF3">
            <w:pPr>
              <w:ind w:firstLine="459"/>
              <w:rPr>
                <w:rFonts w:ascii="Times New Roman" w:hAnsi="Times New Roman" w:cs="Times New Roman"/>
                <w:sz w:val="20"/>
                <w:szCs w:val="20"/>
              </w:rPr>
            </w:pPr>
            <w:r w:rsidRPr="003D1104">
              <w:rPr>
                <w:rFonts w:ascii="Times New Roman" w:hAnsi="Times New Roman" w:cs="Times New Roman"/>
                <w:sz w:val="20"/>
                <w:szCs w:val="20"/>
              </w:rPr>
              <w:t>С нарушением срока была представлена информация Департаментом гражданской защиты населения Ханты-Мансийского автономного округа</w:t>
            </w:r>
            <w:r>
              <w:rPr>
                <w:rFonts w:ascii="Times New Roman" w:hAnsi="Times New Roman" w:cs="Times New Roman"/>
                <w:sz w:val="20"/>
                <w:szCs w:val="20"/>
              </w:rPr>
              <w:t> </w:t>
            </w:r>
            <w:r w:rsidRPr="003D1104">
              <w:rPr>
                <w:rFonts w:ascii="Times New Roman" w:hAnsi="Times New Roman" w:cs="Times New Roman"/>
                <w:sz w:val="20"/>
                <w:szCs w:val="20"/>
              </w:rPr>
              <w:t xml:space="preserve">– Югры за 1 полугодие 2020 года, в дальнейшем информация представлялась в соответствии с установленными сроками. </w:t>
            </w:r>
          </w:p>
          <w:p w:rsidR="00295DF3" w:rsidRDefault="00295DF3" w:rsidP="00295DF3">
            <w:pPr>
              <w:ind w:firstLine="459"/>
              <w:rPr>
                <w:rFonts w:ascii="Times New Roman" w:hAnsi="Times New Roman" w:cs="Times New Roman"/>
                <w:sz w:val="20"/>
                <w:szCs w:val="20"/>
              </w:rPr>
            </w:pPr>
            <w:r w:rsidRPr="003D1104">
              <w:rPr>
                <w:rFonts w:ascii="Times New Roman" w:hAnsi="Times New Roman" w:cs="Times New Roman"/>
                <w:sz w:val="20"/>
                <w:szCs w:val="20"/>
              </w:rPr>
              <w:t>Остальные главные администраторы доходов бю</w:t>
            </w:r>
            <w:r>
              <w:rPr>
                <w:rFonts w:ascii="Times New Roman" w:hAnsi="Times New Roman" w:cs="Times New Roman"/>
                <w:sz w:val="20"/>
                <w:szCs w:val="20"/>
              </w:rPr>
              <w:t>джета автономного округа направ</w:t>
            </w:r>
            <w:r w:rsidRPr="003D1104">
              <w:rPr>
                <w:rFonts w:ascii="Times New Roman" w:hAnsi="Times New Roman" w:cs="Times New Roman"/>
                <w:sz w:val="20"/>
                <w:szCs w:val="20"/>
              </w:rPr>
              <w:t>л</w:t>
            </w:r>
            <w:r>
              <w:rPr>
                <w:rFonts w:ascii="Times New Roman" w:hAnsi="Times New Roman" w:cs="Times New Roman"/>
                <w:sz w:val="20"/>
                <w:szCs w:val="20"/>
              </w:rPr>
              <w:t>яли</w:t>
            </w:r>
            <w:r w:rsidRPr="003D1104">
              <w:rPr>
                <w:rFonts w:ascii="Times New Roman" w:hAnsi="Times New Roman" w:cs="Times New Roman"/>
                <w:sz w:val="20"/>
                <w:szCs w:val="20"/>
              </w:rPr>
              <w:t xml:space="preserve"> информацию своевременно.</w:t>
            </w:r>
          </w:p>
          <w:p w:rsidR="00295DF3" w:rsidRPr="003D1104" w:rsidRDefault="00295DF3" w:rsidP="00DB7D7B">
            <w:pPr>
              <w:rPr>
                <w:rFonts w:ascii="Times New Roman" w:hAnsi="Times New Roman" w:cs="Times New Roman"/>
                <w:sz w:val="20"/>
                <w:szCs w:val="20"/>
              </w:rPr>
            </w:pPr>
          </w:p>
        </w:tc>
      </w:tr>
      <w:tr w:rsidR="00295DF3" w:rsidTr="0031014C">
        <w:trPr>
          <w:cantSplit/>
        </w:trPr>
        <w:tc>
          <w:tcPr>
            <w:tcW w:w="1485" w:type="dxa"/>
            <w:vMerge/>
          </w:tcPr>
          <w:p w:rsidR="00295DF3" w:rsidRDefault="00295DF3" w:rsidP="00BD63B0">
            <w:pPr>
              <w:jc w:val="center"/>
              <w:rPr>
                <w:rFonts w:ascii="Times New Roman" w:hAnsi="Times New Roman" w:cs="Times New Roman"/>
                <w:sz w:val="20"/>
                <w:szCs w:val="20"/>
              </w:rPr>
            </w:pPr>
          </w:p>
        </w:tc>
        <w:tc>
          <w:tcPr>
            <w:tcW w:w="7128" w:type="dxa"/>
          </w:tcPr>
          <w:p w:rsidR="00295DF3" w:rsidRDefault="00295DF3" w:rsidP="00295DF3">
            <w:pPr>
              <w:pStyle w:val="ConsPlusNormal"/>
              <w:jc w:val="both"/>
            </w:pPr>
            <w:r w:rsidRPr="0012623D">
              <w:t>в</w:t>
            </w:r>
            <w:r>
              <w:t>) ежегодно до 20-го числа месяца, следующего за отчетным финансовым годом, аналитическую информацию:</w:t>
            </w:r>
          </w:p>
          <w:p w:rsidR="00295DF3" w:rsidRPr="003D2161" w:rsidRDefault="00295DF3" w:rsidP="00295DF3">
            <w:pPr>
              <w:pStyle w:val="ConsPlusNormal"/>
              <w:jc w:val="both"/>
            </w:pPr>
            <w:r>
              <w:t xml:space="preserve">об исполнении уточненного годового плана доходов по кодам классификации доходов, администрируемых соответствующим главным администратором, с обоснованием причин возникших отклонений фактических поступлений от уточненного плана; </w:t>
            </w:r>
            <w:r w:rsidRPr="00295DF3">
              <w:t>о причинах отклонений фактического поступления доходов в отчетном финансовом году от фактического поступления доходов в прошедшем финансовом году по кодам классификации доходов, администрируемых соответствующим главным администратором.</w:t>
            </w:r>
          </w:p>
        </w:tc>
        <w:tc>
          <w:tcPr>
            <w:tcW w:w="6663" w:type="dxa"/>
          </w:tcPr>
          <w:p w:rsidR="00295DF3" w:rsidRPr="00126E53" w:rsidRDefault="00295DF3" w:rsidP="00DB7D7B">
            <w:pPr>
              <w:rPr>
                <w:rFonts w:ascii="Times New Roman" w:hAnsi="Times New Roman" w:cs="Times New Roman"/>
                <w:sz w:val="20"/>
                <w:szCs w:val="20"/>
              </w:rPr>
            </w:pPr>
            <w:r w:rsidRPr="003D1104">
              <w:rPr>
                <w:rFonts w:ascii="Times New Roman" w:hAnsi="Times New Roman" w:cs="Times New Roman"/>
                <w:sz w:val="20"/>
                <w:szCs w:val="20"/>
              </w:rPr>
              <w:t>Информация представлена всеми главными администраторами доходов бюджета автономного округа своевременно.</w:t>
            </w:r>
          </w:p>
        </w:tc>
      </w:tr>
      <w:tr w:rsidR="00C6080D" w:rsidTr="0031014C">
        <w:trPr>
          <w:cantSplit/>
        </w:trPr>
        <w:tc>
          <w:tcPr>
            <w:tcW w:w="1485" w:type="dxa"/>
            <w:vMerge w:val="restart"/>
          </w:tcPr>
          <w:p w:rsidR="00C6080D" w:rsidRPr="00EB60D4" w:rsidRDefault="00C6080D" w:rsidP="00BD63B0">
            <w:pPr>
              <w:jc w:val="center"/>
              <w:rPr>
                <w:rFonts w:ascii="Times New Roman" w:hAnsi="Times New Roman" w:cs="Times New Roman"/>
                <w:sz w:val="20"/>
                <w:szCs w:val="20"/>
              </w:rPr>
            </w:pPr>
            <w:r>
              <w:rPr>
                <w:rFonts w:ascii="Times New Roman" w:hAnsi="Times New Roman" w:cs="Times New Roman"/>
                <w:sz w:val="20"/>
                <w:szCs w:val="20"/>
              </w:rPr>
              <w:t>3.</w:t>
            </w:r>
          </w:p>
        </w:tc>
        <w:tc>
          <w:tcPr>
            <w:tcW w:w="7128" w:type="dxa"/>
          </w:tcPr>
          <w:p w:rsidR="00C6080D" w:rsidRPr="00230DE4" w:rsidRDefault="00C6080D" w:rsidP="00BD63B0">
            <w:pPr>
              <w:autoSpaceDE w:val="0"/>
              <w:autoSpaceDN w:val="0"/>
              <w:adjustRightInd w:val="0"/>
              <w:jc w:val="both"/>
              <w:rPr>
                <w:rFonts w:ascii="Times New Roman" w:hAnsi="Times New Roman" w:cs="Times New Roman"/>
                <w:sz w:val="20"/>
                <w:szCs w:val="20"/>
              </w:rPr>
            </w:pPr>
            <w:r w:rsidRPr="003D2161">
              <w:rPr>
                <w:rFonts w:ascii="Times New Roman" w:hAnsi="Times New Roman" w:cs="Times New Roman"/>
                <w:sz w:val="20"/>
                <w:szCs w:val="20"/>
              </w:rPr>
              <w:t>Главным распорядителям средств бюджета автономного округа обеспечить</w:t>
            </w:r>
            <w:r>
              <w:rPr>
                <w:rFonts w:ascii="Times New Roman" w:hAnsi="Times New Roman" w:cs="Times New Roman"/>
                <w:sz w:val="20"/>
                <w:szCs w:val="20"/>
              </w:rPr>
              <w:t>:</w:t>
            </w:r>
          </w:p>
        </w:tc>
        <w:tc>
          <w:tcPr>
            <w:tcW w:w="6663" w:type="dxa"/>
          </w:tcPr>
          <w:p w:rsidR="00C6080D" w:rsidRPr="00126E53" w:rsidRDefault="00C6080D" w:rsidP="00DB7D7B">
            <w:pPr>
              <w:rPr>
                <w:rFonts w:ascii="Times New Roman" w:hAnsi="Times New Roman" w:cs="Times New Roman"/>
                <w:sz w:val="20"/>
                <w:szCs w:val="20"/>
              </w:rPr>
            </w:pPr>
          </w:p>
        </w:tc>
      </w:tr>
      <w:tr w:rsidR="00C6080D" w:rsidTr="00E056E5">
        <w:tc>
          <w:tcPr>
            <w:tcW w:w="1485" w:type="dxa"/>
            <w:vMerge/>
          </w:tcPr>
          <w:p w:rsidR="00C6080D" w:rsidRPr="001D0F88" w:rsidRDefault="00C6080D" w:rsidP="00BD63B0">
            <w:pPr>
              <w:jc w:val="center"/>
              <w:rPr>
                <w:rFonts w:ascii="Times New Roman" w:hAnsi="Times New Roman" w:cs="Times New Roman"/>
                <w:sz w:val="20"/>
                <w:szCs w:val="20"/>
              </w:rPr>
            </w:pPr>
          </w:p>
        </w:tc>
        <w:tc>
          <w:tcPr>
            <w:tcW w:w="7128" w:type="dxa"/>
          </w:tcPr>
          <w:p w:rsidR="00C6080D" w:rsidRPr="00230DE4" w:rsidRDefault="00C6080D"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а) </w:t>
            </w:r>
            <w:r w:rsidRPr="003D2161">
              <w:rPr>
                <w:rFonts w:ascii="Times New Roman" w:hAnsi="Times New Roman" w:cs="Times New Roman"/>
                <w:sz w:val="20"/>
                <w:szCs w:val="20"/>
              </w:rPr>
              <w:t>исполнение бюджета автономного округа с учетом основных направлений налоговой, бюджетной и долговой политики автономного округа на 2020 год и на плановый период 2021 и 2022 годов;</w:t>
            </w:r>
          </w:p>
        </w:tc>
        <w:tc>
          <w:tcPr>
            <w:tcW w:w="6663" w:type="dxa"/>
          </w:tcPr>
          <w:p w:rsidR="00C6080D" w:rsidRDefault="00C6080D" w:rsidP="00770DD5">
            <w:pPr>
              <w:widowControl w:val="0"/>
              <w:ind w:firstLine="459"/>
              <w:jc w:val="both"/>
              <w:rPr>
                <w:rFonts w:ascii="Times New Roman" w:hAnsi="Times New Roman" w:cs="Times New Roman"/>
                <w:sz w:val="20"/>
                <w:szCs w:val="20"/>
              </w:rPr>
            </w:pPr>
            <w:r>
              <w:rPr>
                <w:rFonts w:ascii="Times New Roman" w:hAnsi="Times New Roman" w:cs="Times New Roman"/>
                <w:sz w:val="20"/>
                <w:szCs w:val="20"/>
              </w:rPr>
              <w:t>исполнение бюджета автономного округа в 2020 году осуществлялось в соответствии с п</w:t>
            </w:r>
            <w:r w:rsidRPr="00770DD5">
              <w:rPr>
                <w:rFonts w:ascii="Times New Roman" w:hAnsi="Times New Roman" w:cs="Times New Roman"/>
                <w:sz w:val="20"/>
                <w:szCs w:val="20"/>
              </w:rPr>
              <w:t>риняты</w:t>
            </w:r>
            <w:r>
              <w:rPr>
                <w:rFonts w:ascii="Times New Roman" w:hAnsi="Times New Roman" w:cs="Times New Roman"/>
                <w:sz w:val="20"/>
                <w:szCs w:val="20"/>
              </w:rPr>
              <w:t>ми</w:t>
            </w:r>
            <w:r w:rsidRPr="00770DD5">
              <w:rPr>
                <w:rFonts w:ascii="Times New Roman" w:hAnsi="Times New Roman" w:cs="Times New Roman"/>
                <w:sz w:val="20"/>
                <w:szCs w:val="20"/>
              </w:rPr>
              <w:t xml:space="preserve"> в автономном округе приорите</w:t>
            </w:r>
            <w:r>
              <w:rPr>
                <w:rFonts w:ascii="Times New Roman" w:hAnsi="Times New Roman" w:cs="Times New Roman"/>
                <w:sz w:val="20"/>
                <w:szCs w:val="20"/>
              </w:rPr>
              <w:t>тами</w:t>
            </w:r>
            <w:r w:rsidRPr="00770DD5">
              <w:rPr>
                <w:rFonts w:ascii="Times New Roman" w:hAnsi="Times New Roman" w:cs="Times New Roman"/>
                <w:sz w:val="20"/>
                <w:szCs w:val="20"/>
              </w:rPr>
              <w:t xml:space="preserve"> налоговой, бюджетной и долговой политики на 2020-2022 годы, </w:t>
            </w:r>
            <w:r>
              <w:rPr>
                <w:rFonts w:ascii="Times New Roman" w:hAnsi="Times New Roman" w:cs="Times New Roman"/>
                <w:sz w:val="20"/>
                <w:szCs w:val="20"/>
              </w:rPr>
              <w:t xml:space="preserve">которые </w:t>
            </w:r>
            <w:r w:rsidRPr="00770DD5">
              <w:rPr>
                <w:rFonts w:ascii="Times New Roman" w:hAnsi="Times New Roman" w:cs="Times New Roman"/>
                <w:sz w:val="20"/>
                <w:szCs w:val="20"/>
              </w:rPr>
              <w:t>ориентированы на обеспечение финансовой устойчивости бюджетной системы автономного округа, реализацию региональных проектов, охватывающих ключевые направления социально-экономического развития Югры, исходя из обозначенных Президентом Российской Федерации национальных целей развития страны в Указе от 7 мая 2018 года № 204 «О национальных целях и стратегических задачах развития Российской Федерации на период до 2024 года» (далее – Указ № 204).</w:t>
            </w:r>
          </w:p>
          <w:p w:rsidR="00C6080D" w:rsidRDefault="00C6080D" w:rsidP="00770DD5">
            <w:pPr>
              <w:widowControl w:val="0"/>
              <w:ind w:firstLine="459"/>
              <w:jc w:val="both"/>
              <w:rPr>
                <w:rFonts w:ascii="Times New Roman" w:hAnsi="Times New Roman" w:cs="Times New Roman"/>
                <w:sz w:val="20"/>
                <w:szCs w:val="20"/>
              </w:rPr>
            </w:pPr>
            <w:r>
              <w:rPr>
                <w:rFonts w:ascii="Times New Roman" w:hAnsi="Times New Roman" w:cs="Times New Roman"/>
                <w:sz w:val="20"/>
                <w:szCs w:val="20"/>
              </w:rPr>
              <w:t>В отчетном году п</w:t>
            </w:r>
            <w:r w:rsidRPr="00770DD5">
              <w:rPr>
                <w:rFonts w:ascii="Times New Roman" w:hAnsi="Times New Roman" w:cs="Times New Roman"/>
                <w:sz w:val="20"/>
                <w:szCs w:val="20"/>
              </w:rPr>
              <w:t xml:space="preserve">ервоначально утвержденные параметры бюджета автономного округа на 2020 год: </w:t>
            </w:r>
            <w:r>
              <w:rPr>
                <w:rFonts w:ascii="Times New Roman" w:hAnsi="Times New Roman" w:cs="Times New Roman"/>
                <w:sz w:val="20"/>
                <w:szCs w:val="20"/>
              </w:rPr>
              <w:t xml:space="preserve">увеличены </w:t>
            </w:r>
            <w:r w:rsidRPr="00770DD5">
              <w:rPr>
                <w:rFonts w:ascii="Times New Roman" w:hAnsi="Times New Roman" w:cs="Times New Roman"/>
                <w:sz w:val="20"/>
                <w:szCs w:val="20"/>
              </w:rPr>
              <w:t>по доходам на 44 387,8 млн. рублей</w:t>
            </w:r>
            <w:r>
              <w:rPr>
                <w:rFonts w:ascii="Times New Roman" w:hAnsi="Times New Roman" w:cs="Times New Roman"/>
                <w:sz w:val="20"/>
                <w:szCs w:val="20"/>
              </w:rPr>
              <w:t xml:space="preserve"> и</w:t>
            </w:r>
            <w:r w:rsidRPr="00770DD5">
              <w:rPr>
                <w:rFonts w:ascii="Times New Roman" w:hAnsi="Times New Roman" w:cs="Times New Roman"/>
                <w:sz w:val="20"/>
                <w:szCs w:val="20"/>
              </w:rPr>
              <w:t xml:space="preserve"> по расходам на 32 380,0 млн. рублей, дефицит бюджета сокращен на 12 007,8 млн. рублей</w:t>
            </w:r>
            <w:r>
              <w:rPr>
                <w:rFonts w:ascii="Times New Roman" w:hAnsi="Times New Roman" w:cs="Times New Roman"/>
                <w:sz w:val="20"/>
                <w:szCs w:val="20"/>
              </w:rPr>
              <w:t>.</w:t>
            </w:r>
          </w:p>
          <w:p w:rsidR="00C6080D" w:rsidRPr="00770DD5" w:rsidRDefault="00C6080D" w:rsidP="00770DD5">
            <w:pPr>
              <w:widowControl w:val="0"/>
              <w:ind w:firstLine="459"/>
              <w:jc w:val="both"/>
              <w:rPr>
                <w:rFonts w:ascii="Times New Roman" w:hAnsi="Times New Roman" w:cs="Times New Roman"/>
                <w:sz w:val="20"/>
                <w:szCs w:val="20"/>
              </w:rPr>
            </w:pPr>
            <w:r w:rsidRPr="00770DD5">
              <w:rPr>
                <w:rFonts w:ascii="Times New Roman" w:hAnsi="Times New Roman" w:cs="Times New Roman"/>
                <w:sz w:val="20"/>
                <w:szCs w:val="20"/>
              </w:rPr>
              <w:t xml:space="preserve">Кроме того, в 2020 году Правительством автономного округа принимались оперативные решения по </w:t>
            </w:r>
            <w:proofErr w:type="spellStart"/>
            <w:r w:rsidRPr="00770DD5">
              <w:rPr>
                <w:rFonts w:ascii="Times New Roman" w:hAnsi="Times New Roman" w:cs="Times New Roman"/>
                <w:sz w:val="20"/>
                <w:szCs w:val="20"/>
              </w:rPr>
              <w:t>приоритизации</w:t>
            </w:r>
            <w:proofErr w:type="spellEnd"/>
            <w:r w:rsidRPr="00770DD5">
              <w:rPr>
                <w:rFonts w:ascii="Times New Roman" w:hAnsi="Times New Roman" w:cs="Times New Roman"/>
                <w:sz w:val="20"/>
                <w:szCs w:val="20"/>
              </w:rPr>
              <w:t xml:space="preserve"> расходов бюджета авто</w:t>
            </w:r>
            <w:r w:rsidRPr="00770DD5">
              <w:rPr>
                <w:rFonts w:ascii="Times New Roman" w:hAnsi="Times New Roman" w:cs="Times New Roman"/>
                <w:sz w:val="20"/>
                <w:szCs w:val="20"/>
              </w:rPr>
              <w:lastRenderedPageBreak/>
              <w:t xml:space="preserve">номного округа на реализацию государственных программ и непрограммных направлений деятельности, внесению изменений в показатели сводной бюджетной росписи на мероприятия, связанные с предупреждением распространения новой </w:t>
            </w:r>
            <w:proofErr w:type="spellStart"/>
            <w:r w:rsidRPr="00770DD5">
              <w:rPr>
                <w:rFonts w:ascii="Times New Roman" w:hAnsi="Times New Roman" w:cs="Times New Roman"/>
                <w:sz w:val="20"/>
                <w:szCs w:val="20"/>
              </w:rPr>
              <w:t>коронавирусной</w:t>
            </w:r>
            <w:proofErr w:type="spellEnd"/>
            <w:r w:rsidRPr="00770DD5">
              <w:rPr>
                <w:rFonts w:ascii="Times New Roman" w:hAnsi="Times New Roman" w:cs="Times New Roman"/>
                <w:sz w:val="20"/>
                <w:szCs w:val="20"/>
              </w:rPr>
              <w:t xml:space="preserve"> инфекции, а также предотвращением влияния ухудшения экономической ситуации на развитие отраслей экономики.</w:t>
            </w:r>
          </w:p>
          <w:p w:rsidR="00C6080D" w:rsidRPr="00770DD5" w:rsidRDefault="00C6080D" w:rsidP="00770DD5">
            <w:pPr>
              <w:widowControl w:val="0"/>
              <w:ind w:firstLine="459"/>
              <w:jc w:val="both"/>
              <w:rPr>
                <w:rFonts w:ascii="Times New Roman" w:hAnsi="Times New Roman" w:cs="Times New Roman"/>
                <w:sz w:val="20"/>
                <w:szCs w:val="20"/>
              </w:rPr>
            </w:pPr>
            <w:r w:rsidRPr="00770DD5">
              <w:rPr>
                <w:rFonts w:ascii="Times New Roman" w:hAnsi="Times New Roman" w:cs="Times New Roman"/>
                <w:sz w:val="20"/>
                <w:szCs w:val="20"/>
              </w:rPr>
              <w:t xml:space="preserve">Значительные бюджетные ресурсы были перенаправлены преимущественно на осуществление выплат стимулирующего характера медицинским и иным работникам, оказывающим услуги гражданам с выявленной новой </w:t>
            </w:r>
            <w:proofErr w:type="spellStart"/>
            <w:r w:rsidRPr="00770DD5">
              <w:rPr>
                <w:rFonts w:ascii="Times New Roman" w:hAnsi="Times New Roman" w:cs="Times New Roman"/>
                <w:sz w:val="20"/>
                <w:szCs w:val="20"/>
              </w:rPr>
              <w:t>коронавирусной</w:t>
            </w:r>
            <w:proofErr w:type="spellEnd"/>
            <w:r w:rsidRPr="00770DD5">
              <w:rPr>
                <w:rFonts w:ascii="Times New Roman" w:hAnsi="Times New Roman" w:cs="Times New Roman"/>
                <w:sz w:val="20"/>
                <w:szCs w:val="20"/>
              </w:rPr>
              <w:t xml:space="preserve"> инфекцией, на оснащение (переоснащение) коечного фонда, приобретение средств индивидуальной и коллективной защиты, лабораторного оборудования, лекарственных препаратов, на единовременные денежные выплаты отдельным категориям нуждающихся граждан автономного округа, на поддержку субъектов малого и среднего предпринимательства, некоммерческих организаций и социальных предприятий, а также на предоставление мер дополнительной финансовой поддержки муниципальных образований автономного округа.</w:t>
            </w:r>
          </w:p>
          <w:p w:rsidR="00C6080D" w:rsidRPr="00770DD5" w:rsidRDefault="00C6080D" w:rsidP="00770DD5">
            <w:pPr>
              <w:widowControl w:val="0"/>
              <w:ind w:firstLine="459"/>
              <w:jc w:val="both"/>
              <w:rPr>
                <w:rFonts w:ascii="Times New Roman" w:hAnsi="Times New Roman" w:cs="Times New Roman"/>
                <w:sz w:val="20"/>
                <w:szCs w:val="20"/>
              </w:rPr>
            </w:pPr>
            <w:r w:rsidRPr="00770DD5">
              <w:rPr>
                <w:rFonts w:ascii="Times New Roman" w:hAnsi="Times New Roman" w:cs="Times New Roman"/>
                <w:sz w:val="20"/>
                <w:szCs w:val="20"/>
              </w:rPr>
              <w:t>На эти цели в 2020 году было выделено 14 1</w:t>
            </w:r>
            <w:r>
              <w:rPr>
                <w:rFonts w:ascii="Times New Roman" w:hAnsi="Times New Roman" w:cs="Times New Roman"/>
                <w:sz w:val="20"/>
                <w:szCs w:val="20"/>
              </w:rPr>
              <w:t>35</w:t>
            </w:r>
            <w:r w:rsidRPr="00770DD5">
              <w:rPr>
                <w:rFonts w:ascii="Times New Roman" w:hAnsi="Times New Roman" w:cs="Times New Roman"/>
                <w:sz w:val="20"/>
                <w:szCs w:val="20"/>
              </w:rPr>
              <w:t>,</w:t>
            </w:r>
            <w:r>
              <w:rPr>
                <w:rFonts w:ascii="Times New Roman" w:hAnsi="Times New Roman" w:cs="Times New Roman"/>
                <w:sz w:val="20"/>
                <w:szCs w:val="20"/>
              </w:rPr>
              <w:t>1</w:t>
            </w:r>
            <w:r w:rsidRPr="00770DD5">
              <w:rPr>
                <w:rFonts w:ascii="Times New Roman" w:hAnsi="Times New Roman" w:cs="Times New Roman"/>
                <w:sz w:val="20"/>
                <w:szCs w:val="20"/>
              </w:rPr>
              <w:t xml:space="preserve"> млн. рублей, в том числе за счет средств федерального бюджета 5 951,3 млн. рублей. Исполнение по указанным расходам за 2020 год составило 1</w:t>
            </w:r>
            <w:r>
              <w:rPr>
                <w:rFonts w:ascii="Times New Roman" w:hAnsi="Times New Roman" w:cs="Times New Roman"/>
                <w:sz w:val="20"/>
                <w:szCs w:val="20"/>
              </w:rPr>
              <w:t>3</w:t>
            </w:r>
            <w:r w:rsidRPr="00770DD5">
              <w:rPr>
                <w:rFonts w:ascii="Times New Roman" w:hAnsi="Times New Roman" w:cs="Times New Roman"/>
                <w:sz w:val="20"/>
                <w:szCs w:val="20"/>
              </w:rPr>
              <w:t xml:space="preserve"> </w:t>
            </w:r>
            <w:r>
              <w:rPr>
                <w:rFonts w:ascii="Times New Roman" w:hAnsi="Times New Roman" w:cs="Times New Roman"/>
                <w:sz w:val="20"/>
                <w:szCs w:val="20"/>
              </w:rPr>
              <w:t>107</w:t>
            </w:r>
            <w:r w:rsidRPr="00770DD5">
              <w:rPr>
                <w:rFonts w:ascii="Times New Roman" w:hAnsi="Times New Roman" w:cs="Times New Roman"/>
                <w:sz w:val="20"/>
                <w:szCs w:val="20"/>
              </w:rPr>
              <w:t>,</w:t>
            </w:r>
            <w:r>
              <w:rPr>
                <w:rFonts w:ascii="Times New Roman" w:hAnsi="Times New Roman" w:cs="Times New Roman"/>
                <w:sz w:val="20"/>
                <w:szCs w:val="20"/>
              </w:rPr>
              <w:t>6</w:t>
            </w:r>
            <w:r w:rsidRPr="00770DD5">
              <w:rPr>
                <w:rFonts w:ascii="Times New Roman" w:hAnsi="Times New Roman" w:cs="Times New Roman"/>
                <w:sz w:val="20"/>
                <w:szCs w:val="20"/>
              </w:rPr>
              <w:t xml:space="preserve"> млн. рублей, в том числе за счет средств федерального бюджета </w:t>
            </w:r>
            <w:r>
              <w:rPr>
                <w:rFonts w:ascii="Times New Roman" w:hAnsi="Times New Roman" w:cs="Times New Roman"/>
                <w:sz w:val="20"/>
                <w:szCs w:val="20"/>
              </w:rPr>
              <w:t>5</w:t>
            </w:r>
            <w:r w:rsidRPr="00770DD5">
              <w:rPr>
                <w:rFonts w:ascii="Times New Roman" w:hAnsi="Times New Roman" w:cs="Times New Roman"/>
                <w:sz w:val="20"/>
                <w:szCs w:val="20"/>
              </w:rPr>
              <w:t xml:space="preserve"> </w:t>
            </w:r>
            <w:r>
              <w:rPr>
                <w:rFonts w:ascii="Times New Roman" w:hAnsi="Times New Roman" w:cs="Times New Roman"/>
                <w:sz w:val="20"/>
                <w:szCs w:val="20"/>
              </w:rPr>
              <w:t>051</w:t>
            </w:r>
            <w:r w:rsidRPr="00770DD5">
              <w:rPr>
                <w:rFonts w:ascii="Times New Roman" w:hAnsi="Times New Roman" w:cs="Times New Roman"/>
                <w:sz w:val="20"/>
                <w:szCs w:val="20"/>
              </w:rPr>
              <w:t>,</w:t>
            </w:r>
            <w:r>
              <w:rPr>
                <w:rFonts w:ascii="Times New Roman" w:hAnsi="Times New Roman" w:cs="Times New Roman"/>
                <w:sz w:val="20"/>
                <w:szCs w:val="20"/>
              </w:rPr>
              <w:t>0</w:t>
            </w:r>
            <w:r w:rsidRPr="00770DD5">
              <w:rPr>
                <w:rFonts w:ascii="Times New Roman" w:hAnsi="Times New Roman" w:cs="Times New Roman"/>
                <w:sz w:val="20"/>
                <w:szCs w:val="20"/>
              </w:rPr>
              <w:t xml:space="preserve"> млн. рублей. </w:t>
            </w:r>
          </w:p>
          <w:p w:rsidR="00C6080D" w:rsidRDefault="00C6080D" w:rsidP="00770DD5">
            <w:pPr>
              <w:widowControl w:val="0"/>
              <w:ind w:firstLine="459"/>
              <w:jc w:val="both"/>
              <w:rPr>
                <w:rFonts w:ascii="Times New Roman" w:hAnsi="Times New Roman" w:cs="Times New Roman"/>
                <w:sz w:val="20"/>
                <w:szCs w:val="20"/>
              </w:rPr>
            </w:pPr>
            <w:r w:rsidRPr="00770DD5">
              <w:rPr>
                <w:rFonts w:ascii="Times New Roman" w:hAnsi="Times New Roman" w:cs="Times New Roman"/>
                <w:sz w:val="20"/>
                <w:szCs w:val="20"/>
              </w:rPr>
              <w:t>Благодаря бюджетным мерам, которые были приняты, удалось сохранить стабильность выполнения всех первоочередных бюджетных обязательств, поддержать граждан Югры.</w:t>
            </w:r>
          </w:p>
          <w:p w:rsidR="00C6080D" w:rsidRDefault="00C6080D" w:rsidP="00770DD5">
            <w:pPr>
              <w:widowControl w:val="0"/>
              <w:ind w:firstLine="459"/>
              <w:jc w:val="both"/>
              <w:rPr>
                <w:rFonts w:ascii="Times New Roman" w:hAnsi="Times New Roman" w:cs="Times New Roman"/>
                <w:sz w:val="20"/>
                <w:szCs w:val="20"/>
              </w:rPr>
            </w:pPr>
          </w:p>
          <w:p w:rsidR="00C6080D" w:rsidRPr="00770DD5" w:rsidRDefault="00C6080D" w:rsidP="00770DD5">
            <w:pPr>
              <w:widowControl w:val="0"/>
              <w:ind w:firstLine="459"/>
              <w:jc w:val="both"/>
              <w:rPr>
                <w:rFonts w:ascii="Times New Roman" w:hAnsi="Times New Roman" w:cs="Times New Roman"/>
                <w:sz w:val="20"/>
                <w:szCs w:val="20"/>
              </w:rPr>
            </w:pPr>
            <w:r w:rsidRPr="00770DD5">
              <w:rPr>
                <w:rFonts w:ascii="Times New Roman" w:hAnsi="Times New Roman" w:cs="Times New Roman"/>
                <w:sz w:val="20"/>
                <w:szCs w:val="20"/>
              </w:rPr>
              <w:t>Фактическое поступление доходов бюджета автономного округа за 2020 год составило 261 727,6 млн. рублей, что выше уточненного плана на 3 925,0 млн. рублей. Относительно доходов бюджета автономного округа за 2019 год рост составил 1 968,7 млн. рублей, и объясняется в основном, увеличением прибыли компаний нефтяного сектора от внереализационной деятельности.</w:t>
            </w:r>
          </w:p>
          <w:p w:rsidR="00C6080D" w:rsidRDefault="00C6080D" w:rsidP="00770DD5">
            <w:pPr>
              <w:widowControl w:val="0"/>
              <w:ind w:firstLine="459"/>
              <w:jc w:val="both"/>
              <w:rPr>
                <w:rFonts w:ascii="Times New Roman" w:hAnsi="Times New Roman" w:cs="Times New Roman"/>
                <w:sz w:val="20"/>
                <w:szCs w:val="20"/>
              </w:rPr>
            </w:pPr>
            <w:r w:rsidRPr="00770DD5">
              <w:rPr>
                <w:rFonts w:ascii="Times New Roman" w:hAnsi="Times New Roman" w:cs="Times New Roman"/>
                <w:sz w:val="20"/>
                <w:szCs w:val="20"/>
              </w:rPr>
              <w:t>Расходы бюджета автономного округа за 2020 год исполнены в сумме 272 902,4 млн. рублей, что выше уровня 2019 года на 9,7% или на 24 112,5 млн. рублей.</w:t>
            </w:r>
          </w:p>
          <w:p w:rsidR="00C6080D" w:rsidRDefault="00C6080D" w:rsidP="00216ACD">
            <w:pPr>
              <w:widowControl w:val="0"/>
              <w:ind w:firstLine="459"/>
              <w:jc w:val="both"/>
              <w:rPr>
                <w:rFonts w:ascii="Times New Roman" w:hAnsi="Times New Roman" w:cs="Times New Roman"/>
                <w:sz w:val="20"/>
                <w:szCs w:val="20"/>
              </w:rPr>
            </w:pPr>
            <w:r w:rsidRPr="00216ACD">
              <w:rPr>
                <w:rFonts w:ascii="Times New Roman" w:hAnsi="Times New Roman" w:cs="Times New Roman"/>
                <w:sz w:val="20"/>
                <w:szCs w:val="20"/>
              </w:rPr>
              <w:t xml:space="preserve">На финансирование социальных расходов, направленных на развитие отрасли образование, здравоохранение, культура, физическая культура и спорт, на реализацию социальной политики в автономном округе в 2020 году было направлено 189 940,2 млн. рублей, или 69,6 % от общего объёма расходов бюджета автономного округа. К уровню прошлого года расходы на социальную сферу приросли на 12,3 %, или на 20 864,8 млн. рублей. </w:t>
            </w:r>
            <w:r w:rsidRPr="00216ACD">
              <w:rPr>
                <w:rFonts w:ascii="Times New Roman" w:hAnsi="Times New Roman" w:cs="Times New Roman"/>
                <w:sz w:val="20"/>
                <w:szCs w:val="20"/>
              </w:rPr>
              <w:lastRenderedPageBreak/>
              <w:t>Удельный вес данных расходов вырос на 1,6 %.</w:t>
            </w:r>
          </w:p>
          <w:p w:rsidR="00C6080D" w:rsidRPr="00216ACD" w:rsidRDefault="00C6080D" w:rsidP="00216ACD">
            <w:pPr>
              <w:widowControl w:val="0"/>
              <w:ind w:firstLine="459"/>
              <w:jc w:val="both"/>
              <w:rPr>
                <w:rFonts w:ascii="Times New Roman" w:hAnsi="Times New Roman" w:cs="Times New Roman"/>
                <w:sz w:val="20"/>
                <w:szCs w:val="20"/>
              </w:rPr>
            </w:pPr>
            <w:r w:rsidRPr="00216ACD">
              <w:rPr>
                <w:rFonts w:ascii="Times New Roman" w:hAnsi="Times New Roman" w:cs="Times New Roman"/>
                <w:sz w:val="20"/>
                <w:szCs w:val="20"/>
              </w:rPr>
              <w:t>В 2020 году Ханты-Мансийский автономный округ - Югра участвовал в реализации 11 из 12 национальных проектов, определенных в Указе № 204.</w:t>
            </w:r>
          </w:p>
          <w:p w:rsidR="00C6080D" w:rsidRPr="00216ACD" w:rsidRDefault="00C6080D" w:rsidP="00216ACD">
            <w:pPr>
              <w:widowControl w:val="0"/>
              <w:ind w:firstLine="459"/>
              <w:jc w:val="both"/>
              <w:rPr>
                <w:rFonts w:ascii="Times New Roman" w:hAnsi="Times New Roman" w:cs="Times New Roman"/>
                <w:sz w:val="20"/>
                <w:szCs w:val="20"/>
              </w:rPr>
            </w:pPr>
            <w:r w:rsidRPr="00216ACD">
              <w:rPr>
                <w:rFonts w:ascii="Times New Roman" w:hAnsi="Times New Roman" w:cs="Times New Roman"/>
                <w:sz w:val="20"/>
                <w:szCs w:val="20"/>
              </w:rPr>
              <w:t>В 17 государственных программах автономного округа осуществлялись расходы на реализацию мероприятий 42 региональных проектов, направленных на достижение результатов и целевых показателей федеральных (национальных) проектов (далее – региональный проект).</w:t>
            </w:r>
          </w:p>
          <w:p w:rsidR="00C6080D" w:rsidRPr="00216ACD" w:rsidRDefault="00C6080D" w:rsidP="00216ACD">
            <w:pPr>
              <w:widowControl w:val="0"/>
              <w:ind w:firstLine="459"/>
              <w:jc w:val="both"/>
              <w:rPr>
                <w:rFonts w:ascii="Times New Roman" w:hAnsi="Times New Roman" w:cs="Times New Roman"/>
                <w:sz w:val="20"/>
                <w:szCs w:val="20"/>
              </w:rPr>
            </w:pPr>
            <w:r w:rsidRPr="00216ACD">
              <w:rPr>
                <w:rFonts w:ascii="Times New Roman" w:hAnsi="Times New Roman" w:cs="Times New Roman"/>
                <w:sz w:val="20"/>
                <w:szCs w:val="20"/>
              </w:rPr>
              <w:t xml:space="preserve">Расходы на реализацию региональных проектов с учётом средств местных бюджетов за 2020 год составили 31 505,6 млн. рублей, из которых 5 798,4 млн. рублей средства федерального бюджета, 20 415,3 млн. рублей средства бюджета автономного округа, 2 200,1 млн. рублей средства местных бюджетов, 3 091,8 млн. рублей поступления по программе «Сотрудничество» и от Государственной корпорации – Фонда содействия реформированию ЖКХ. </w:t>
            </w:r>
          </w:p>
          <w:p w:rsidR="00C6080D" w:rsidRPr="00216ACD" w:rsidRDefault="00C6080D" w:rsidP="00216ACD">
            <w:pPr>
              <w:widowControl w:val="0"/>
              <w:ind w:firstLine="459"/>
              <w:jc w:val="both"/>
              <w:rPr>
                <w:rFonts w:ascii="Times New Roman" w:hAnsi="Times New Roman" w:cs="Times New Roman"/>
                <w:sz w:val="20"/>
                <w:szCs w:val="20"/>
              </w:rPr>
            </w:pPr>
            <w:r w:rsidRPr="00216ACD">
              <w:rPr>
                <w:rFonts w:ascii="Times New Roman" w:hAnsi="Times New Roman" w:cs="Times New Roman"/>
                <w:sz w:val="20"/>
                <w:szCs w:val="20"/>
              </w:rPr>
              <w:t>По итогам 2020 года бюджет автономного округа исполнен с дефицитом в сумме 11 174,8 млн. рублей.</w:t>
            </w:r>
          </w:p>
          <w:p w:rsidR="00C6080D" w:rsidRPr="001D0F88" w:rsidRDefault="00C6080D" w:rsidP="001A53F7">
            <w:pPr>
              <w:widowControl w:val="0"/>
              <w:ind w:firstLine="459"/>
              <w:jc w:val="both"/>
              <w:rPr>
                <w:rFonts w:ascii="Times New Roman" w:hAnsi="Times New Roman" w:cs="Times New Roman"/>
                <w:sz w:val="20"/>
                <w:szCs w:val="20"/>
              </w:rPr>
            </w:pPr>
            <w:r w:rsidRPr="001A53F7">
              <w:rPr>
                <w:rFonts w:ascii="Times New Roman" w:hAnsi="Times New Roman" w:cs="Times New Roman"/>
                <w:sz w:val="20"/>
                <w:szCs w:val="20"/>
              </w:rPr>
              <w:t>Государственный долг автономного округа по состоянию на 1 января 2021 года сократился по сравнению с началом года на 1 800,0 млн. рублей и составил 11 200,0 млн. рублей, или 4,8% к доходам бюджета автономного округа, без учёта безвозмездных поступлений. Новые заимствования в 2020 году не осуществлялись.</w:t>
            </w:r>
          </w:p>
        </w:tc>
      </w:tr>
      <w:tr w:rsidR="00BD63B0" w:rsidTr="008A194B">
        <w:trPr>
          <w:cantSplit/>
        </w:trPr>
        <w:tc>
          <w:tcPr>
            <w:tcW w:w="1485" w:type="dxa"/>
          </w:tcPr>
          <w:p w:rsidR="00BD63B0" w:rsidRPr="001D0F88" w:rsidRDefault="00BD63B0" w:rsidP="00BD63B0">
            <w:pPr>
              <w:jc w:val="center"/>
              <w:rPr>
                <w:rFonts w:ascii="Times New Roman" w:hAnsi="Times New Roman" w:cs="Times New Roman"/>
                <w:sz w:val="20"/>
                <w:szCs w:val="20"/>
              </w:rPr>
            </w:pPr>
          </w:p>
        </w:tc>
        <w:tc>
          <w:tcPr>
            <w:tcW w:w="7128" w:type="dxa"/>
          </w:tcPr>
          <w:p w:rsidR="00BD63B0" w:rsidRPr="00F17A72" w:rsidRDefault="00BD63B0" w:rsidP="00E82A58">
            <w:pPr>
              <w:autoSpaceDE w:val="0"/>
              <w:autoSpaceDN w:val="0"/>
              <w:adjustRightInd w:val="0"/>
              <w:jc w:val="both"/>
              <w:rPr>
                <w:rFonts w:ascii="Times New Roman" w:hAnsi="Times New Roman" w:cs="Times New Roman"/>
                <w:sz w:val="20"/>
                <w:szCs w:val="20"/>
              </w:rPr>
            </w:pPr>
            <w:r w:rsidRPr="00F17A72">
              <w:rPr>
                <w:rFonts w:ascii="Times New Roman" w:hAnsi="Times New Roman" w:cs="Times New Roman"/>
                <w:sz w:val="20"/>
                <w:szCs w:val="20"/>
              </w:rPr>
              <w:t xml:space="preserve">б) </w:t>
            </w:r>
            <w:r w:rsidR="003D2161" w:rsidRPr="003D2161">
              <w:rPr>
                <w:rFonts w:ascii="Times New Roman" w:hAnsi="Times New Roman" w:cs="Times New Roman"/>
                <w:sz w:val="20"/>
                <w:szCs w:val="20"/>
              </w:rPr>
              <w:t>в пределах доведенных лимитов бюджетных обязательств своевременное исполнение расходных обязательств бюджета автономного округа, а также недопущение возникновения просроченной кредиторской задолженности;</w:t>
            </w:r>
          </w:p>
        </w:tc>
        <w:tc>
          <w:tcPr>
            <w:tcW w:w="6663" w:type="dxa"/>
            <w:shd w:val="clear" w:color="auto" w:fill="auto"/>
          </w:tcPr>
          <w:p w:rsidR="00126E53" w:rsidRDefault="00126E53" w:rsidP="00126E53">
            <w:pPr>
              <w:ind w:firstLine="459"/>
              <w:rPr>
                <w:rFonts w:ascii="Times New Roman" w:hAnsi="Times New Roman" w:cs="Times New Roman"/>
                <w:sz w:val="20"/>
                <w:szCs w:val="20"/>
              </w:rPr>
            </w:pPr>
            <w:r>
              <w:rPr>
                <w:rFonts w:ascii="Times New Roman" w:hAnsi="Times New Roman" w:cs="Times New Roman"/>
                <w:sz w:val="20"/>
                <w:szCs w:val="20"/>
              </w:rPr>
              <w:t xml:space="preserve">исполнение расходных обязательств бюджета автономного округа осуществлялось своевременно в пределах </w:t>
            </w:r>
            <w:r w:rsidRPr="00F17A72">
              <w:rPr>
                <w:rFonts w:ascii="Times New Roman" w:hAnsi="Times New Roman" w:cs="Times New Roman"/>
                <w:sz w:val="20"/>
                <w:szCs w:val="20"/>
              </w:rPr>
              <w:t>доведенных лимитов бюджетных обязательств</w:t>
            </w:r>
            <w:r>
              <w:rPr>
                <w:rFonts w:ascii="Times New Roman" w:hAnsi="Times New Roman" w:cs="Times New Roman"/>
                <w:sz w:val="20"/>
                <w:szCs w:val="20"/>
              </w:rPr>
              <w:t>.</w:t>
            </w:r>
          </w:p>
          <w:p w:rsidR="00BD63B0" w:rsidRPr="00D218D4" w:rsidRDefault="00126E53" w:rsidP="00126E53">
            <w:pPr>
              <w:ind w:firstLine="459"/>
              <w:rPr>
                <w:rFonts w:ascii="Times New Roman" w:hAnsi="Times New Roman" w:cs="Times New Roman"/>
                <w:sz w:val="20"/>
                <w:szCs w:val="20"/>
              </w:rPr>
            </w:pPr>
            <w:r w:rsidRPr="008A194B">
              <w:rPr>
                <w:rFonts w:ascii="Times New Roman" w:hAnsi="Times New Roman" w:cs="Times New Roman"/>
                <w:sz w:val="20"/>
                <w:szCs w:val="20"/>
              </w:rPr>
              <w:t>По итогам 20</w:t>
            </w:r>
            <w:r>
              <w:rPr>
                <w:rFonts w:ascii="Times New Roman" w:hAnsi="Times New Roman" w:cs="Times New Roman"/>
                <w:sz w:val="20"/>
                <w:szCs w:val="20"/>
              </w:rPr>
              <w:t>20</w:t>
            </w:r>
            <w:r w:rsidRPr="008A194B">
              <w:rPr>
                <w:rFonts w:ascii="Times New Roman" w:hAnsi="Times New Roman" w:cs="Times New Roman"/>
                <w:sz w:val="20"/>
                <w:szCs w:val="20"/>
              </w:rPr>
              <w:t xml:space="preserve"> года просроченная кредиторская задолженность отсутствует.</w:t>
            </w:r>
          </w:p>
        </w:tc>
      </w:tr>
      <w:tr w:rsidR="00BD63B0" w:rsidTr="00C6080D">
        <w:tc>
          <w:tcPr>
            <w:tcW w:w="1485" w:type="dxa"/>
            <w:tcBorders>
              <w:bottom w:val="single" w:sz="4" w:space="0" w:color="auto"/>
            </w:tcBorders>
          </w:tcPr>
          <w:p w:rsidR="00BD63B0" w:rsidRPr="001D0F88" w:rsidRDefault="00BD63B0" w:rsidP="00BD63B0">
            <w:pPr>
              <w:jc w:val="center"/>
              <w:rPr>
                <w:rFonts w:ascii="Times New Roman" w:hAnsi="Times New Roman" w:cs="Times New Roman"/>
                <w:sz w:val="20"/>
                <w:szCs w:val="20"/>
              </w:rPr>
            </w:pPr>
          </w:p>
        </w:tc>
        <w:tc>
          <w:tcPr>
            <w:tcW w:w="7128" w:type="dxa"/>
          </w:tcPr>
          <w:p w:rsidR="00BD63B0" w:rsidRPr="00F17A72" w:rsidRDefault="00BD63B0" w:rsidP="00E82A58">
            <w:pPr>
              <w:autoSpaceDE w:val="0"/>
              <w:autoSpaceDN w:val="0"/>
              <w:adjustRightInd w:val="0"/>
              <w:jc w:val="both"/>
              <w:rPr>
                <w:rFonts w:ascii="Times New Roman" w:hAnsi="Times New Roman" w:cs="Times New Roman"/>
                <w:sz w:val="20"/>
                <w:szCs w:val="20"/>
              </w:rPr>
            </w:pPr>
            <w:r w:rsidRPr="00F17A72">
              <w:rPr>
                <w:rFonts w:ascii="Times New Roman" w:hAnsi="Times New Roman" w:cs="Times New Roman"/>
                <w:sz w:val="20"/>
                <w:szCs w:val="20"/>
              </w:rPr>
              <w:t xml:space="preserve">в) </w:t>
            </w:r>
            <w:r w:rsidR="003D2161" w:rsidRPr="003D2161">
              <w:rPr>
                <w:rFonts w:ascii="Times New Roman" w:hAnsi="Times New Roman" w:cs="Times New Roman"/>
                <w:sz w:val="20"/>
                <w:szCs w:val="20"/>
              </w:rPr>
              <w:t>принятие мер по повышению качества финансового менеджмента, в том числе результативности и экономности использования бюджетных средств</w:t>
            </w:r>
            <w:r w:rsidRPr="00F17A72">
              <w:rPr>
                <w:rFonts w:ascii="Times New Roman" w:hAnsi="Times New Roman" w:cs="Times New Roman"/>
                <w:sz w:val="20"/>
                <w:szCs w:val="20"/>
              </w:rPr>
              <w:t>;</w:t>
            </w:r>
          </w:p>
        </w:tc>
        <w:tc>
          <w:tcPr>
            <w:tcW w:w="6663" w:type="dxa"/>
          </w:tcPr>
          <w:p w:rsidR="00CB78D3" w:rsidRDefault="00D52B1F" w:rsidP="00EB0564">
            <w:pPr>
              <w:ind w:firstLine="459"/>
              <w:jc w:val="both"/>
              <w:rPr>
                <w:rFonts w:ascii="Times New Roman" w:hAnsi="Times New Roman" w:cs="Times New Roman"/>
                <w:sz w:val="20"/>
                <w:szCs w:val="20"/>
              </w:rPr>
            </w:pPr>
            <w:r>
              <w:rPr>
                <w:rFonts w:ascii="Times New Roman" w:hAnsi="Times New Roman" w:cs="Times New Roman"/>
                <w:sz w:val="20"/>
                <w:szCs w:val="20"/>
              </w:rPr>
              <w:t xml:space="preserve">в соответствии с результатами мониторинга качества финансового менеджмента за 1 полугодие 2020 года </w:t>
            </w:r>
            <w:r w:rsidR="00233229">
              <w:rPr>
                <w:rFonts w:ascii="Times New Roman" w:hAnsi="Times New Roman" w:cs="Times New Roman"/>
                <w:sz w:val="20"/>
                <w:szCs w:val="20"/>
              </w:rPr>
              <w:t xml:space="preserve">из </w:t>
            </w:r>
            <w:r>
              <w:rPr>
                <w:rFonts w:ascii="Times New Roman" w:hAnsi="Times New Roman" w:cs="Times New Roman"/>
                <w:sz w:val="20"/>
                <w:szCs w:val="20"/>
              </w:rPr>
              <w:t>30 главных распорядителей средств бюджета автономного округа</w:t>
            </w:r>
            <w:r w:rsidR="00233229">
              <w:rPr>
                <w:rFonts w:ascii="Times New Roman" w:hAnsi="Times New Roman" w:cs="Times New Roman"/>
                <w:sz w:val="20"/>
                <w:szCs w:val="20"/>
              </w:rPr>
              <w:t>, которые</w:t>
            </w:r>
            <w:r>
              <w:rPr>
                <w:rFonts w:ascii="Times New Roman" w:hAnsi="Times New Roman" w:cs="Times New Roman"/>
                <w:sz w:val="20"/>
                <w:szCs w:val="20"/>
              </w:rPr>
              <w:t xml:space="preserve"> должны были </w:t>
            </w:r>
            <w:r w:rsidR="00233229">
              <w:rPr>
                <w:rFonts w:ascii="Times New Roman" w:hAnsi="Times New Roman" w:cs="Times New Roman"/>
                <w:sz w:val="20"/>
                <w:szCs w:val="20"/>
              </w:rPr>
              <w:t>разработать и реализовать</w:t>
            </w:r>
            <w:r w:rsidR="00C804CD" w:rsidRPr="00C804CD">
              <w:rPr>
                <w:rFonts w:ascii="Times New Roman" w:hAnsi="Times New Roman" w:cs="Times New Roman"/>
                <w:sz w:val="20"/>
                <w:szCs w:val="20"/>
              </w:rPr>
              <w:t xml:space="preserve"> мероприятия, направленные на повышение качества финансового менеджмента</w:t>
            </w:r>
            <w:r w:rsidR="00233229">
              <w:rPr>
                <w:rFonts w:ascii="Times New Roman" w:hAnsi="Times New Roman" w:cs="Times New Roman"/>
                <w:sz w:val="20"/>
                <w:szCs w:val="20"/>
              </w:rPr>
              <w:t xml:space="preserve"> данную работу проводил</w:t>
            </w:r>
            <w:r w:rsidR="009840A8">
              <w:rPr>
                <w:rFonts w:ascii="Times New Roman" w:hAnsi="Times New Roman" w:cs="Times New Roman"/>
                <w:sz w:val="20"/>
                <w:szCs w:val="20"/>
              </w:rPr>
              <w:t>и</w:t>
            </w:r>
            <w:r w:rsidR="00233229">
              <w:rPr>
                <w:rFonts w:ascii="Times New Roman" w:hAnsi="Times New Roman" w:cs="Times New Roman"/>
                <w:sz w:val="20"/>
                <w:szCs w:val="20"/>
              </w:rPr>
              <w:t>:</w:t>
            </w:r>
          </w:p>
          <w:p w:rsidR="00233229" w:rsidRDefault="00233229" w:rsidP="00233229">
            <w:pPr>
              <w:ind w:firstLine="459"/>
              <w:rPr>
                <w:rFonts w:ascii="Times New Roman" w:hAnsi="Times New Roman" w:cs="Times New Roman"/>
                <w:sz w:val="20"/>
                <w:szCs w:val="20"/>
              </w:rPr>
            </w:pPr>
            <w:r>
              <w:rPr>
                <w:rFonts w:ascii="Times New Roman" w:hAnsi="Times New Roman" w:cs="Times New Roman"/>
                <w:sz w:val="20"/>
                <w:szCs w:val="20"/>
              </w:rPr>
              <w:t>Департамент культуры автономного округа</w:t>
            </w:r>
            <w:r w:rsidR="009840A8">
              <w:rPr>
                <w:rFonts w:ascii="Times New Roman" w:hAnsi="Times New Roman" w:cs="Times New Roman"/>
                <w:sz w:val="20"/>
                <w:szCs w:val="20"/>
              </w:rPr>
              <w:t>;</w:t>
            </w:r>
          </w:p>
          <w:p w:rsidR="00233229" w:rsidRDefault="009840A8" w:rsidP="009840A8">
            <w:pPr>
              <w:ind w:firstLine="459"/>
              <w:rPr>
                <w:rFonts w:ascii="Times New Roman" w:hAnsi="Times New Roman" w:cs="Times New Roman"/>
                <w:sz w:val="20"/>
                <w:szCs w:val="20"/>
              </w:rPr>
            </w:pPr>
            <w:r w:rsidRPr="009840A8">
              <w:rPr>
                <w:rFonts w:ascii="Times New Roman" w:hAnsi="Times New Roman" w:cs="Times New Roman"/>
                <w:sz w:val="20"/>
                <w:szCs w:val="20"/>
              </w:rPr>
              <w:t>Департамент недропользования и природных ресурсов автономного округа</w:t>
            </w:r>
            <w:r>
              <w:rPr>
                <w:rFonts w:ascii="Times New Roman" w:hAnsi="Times New Roman" w:cs="Times New Roman"/>
                <w:sz w:val="20"/>
                <w:szCs w:val="20"/>
              </w:rPr>
              <w:t>;</w:t>
            </w:r>
          </w:p>
          <w:p w:rsidR="009840A8" w:rsidRDefault="009840A8" w:rsidP="009840A8">
            <w:pPr>
              <w:ind w:firstLine="459"/>
              <w:rPr>
                <w:rFonts w:ascii="Times New Roman" w:hAnsi="Times New Roman" w:cs="Times New Roman"/>
                <w:sz w:val="20"/>
                <w:szCs w:val="20"/>
              </w:rPr>
            </w:pPr>
            <w:r w:rsidRPr="009840A8">
              <w:rPr>
                <w:rFonts w:ascii="Times New Roman" w:hAnsi="Times New Roman" w:cs="Times New Roman"/>
                <w:sz w:val="20"/>
                <w:szCs w:val="20"/>
              </w:rPr>
              <w:t>Служба по контролю и надзору в сфере охраны окружающей среды, объектов животного мира и лесных отношений автономного округа</w:t>
            </w:r>
            <w:r>
              <w:rPr>
                <w:rFonts w:ascii="Times New Roman" w:hAnsi="Times New Roman" w:cs="Times New Roman"/>
                <w:sz w:val="20"/>
                <w:szCs w:val="20"/>
              </w:rPr>
              <w:t>;</w:t>
            </w:r>
          </w:p>
          <w:p w:rsidR="009840A8" w:rsidRDefault="009840A8" w:rsidP="009840A8">
            <w:pPr>
              <w:ind w:firstLine="459"/>
              <w:rPr>
                <w:rFonts w:ascii="Times New Roman" w:hAnsi="Times New Roman" w:cs="Times New Roman"/>
                <w:sz w:val="20"/>
                <w:szCs w:val="20"/>
              </w:rPr>
            </w:pPr>
            <w:r w:rsidRPr="009840A8">
              <w:rPr>
                <w:rFonts w:ascii="Times New Roman" w:hAnsi="Times New Roman" w:cs="Times New Roman"/>
                <w:sz w:val="20"/>
                <w:szCs w:val="20"/>
              </w:rPr>
              <w:t>Ветеринарная служба автономного округа</w:t>
            </w:r>
            <w:r>
              <w:rPr>
                <w:rFonts w:ascii="Times New Roman" w:hAnsi="Times New Roman" w:cs="Times New Roman"/>
                <w:sz w:val="20"/>
                <w:szCs w:val="20"/>
              </w:rPr>
              <w:t>;</w:t>
            </w:r>
          </w:p>
          <w:p w:rsidR="009840A8" w:rsidRDefault="009840A8" w:rsidP="009840A8">
            <w:pPr>
              <w:ind w:firstLine="459"/>
              <w:rPr>
                <w:rFonts w:ascii="Times New Roman" w:hAnsi="Times New Roman" w:cs="Times New Roman"/>
                <w:sz w:val="20"/>
                <w:szCs w:val="20"/>
              </w:rPr>
            </w:pPr>
            <w:r w:rsidRPr="009840A8">
              <w:rPr>
                <w:rFonts w:ascii="Times New Roman" w:hAnsi="Times New Roman" w:cs="Times New Roman"/>
                <w:sz w:val="20"/>
                <w:szCs w:val="20"/>
              </w:rPr>
              <w:t>Департамент промышленности автономного округа</w:t>
            </w:r>
            <w:r w:rsidR="00CA38B1">
              <w:rPr>
                <w:rFonts w:ascii="Times New Roman" w:hAnsi="Times New Roman" w:cs="Times New Roman"/>
                <w:sz w:val="20"/>
                <w:szCs w:val="20"/>
              </w:rPr>
              <w:t>;</w:t>
            </w:r>
          </w:p>
          <w:p w:rsidR="00CA38B1" w:rsidRDefault="005D3474" w:rsidP="009840A8">
            <w:pPr>
              <w:ind w:firstLine="459"/>
              <w:rPr>
                <w:rFonts w:ascii="Times New Roman" w:hAnsi="Times New Roman" w:cs="Times New Roman"/>
                <w:sz w:val="20"/>
                <w:szCs w:val="20"/>
              </w:rPr>
            </w:pPr>
            <w:r w:rsidRPr="005D3474">
              <w:rPr>
                <w:rFonts w:ascii="Times New Roman" w:hAnsi="Times New Roman" w:cs="Times New Roman"/>
                <w:sz w:val="20"/>
                <w:szCs w:val="20"/>
              </w:rPr>
              <w:lastRenderedPageBreak/>
              <w:t>Служба государственного надзора за техническим состоянием самоходных машин и других видов техники</w:t>
            </w:r>
            <w:r>
              <w:rPr>
                <w:rFonts w:ascii="Times New Roman" w:hAnsi="Times New Roman" w:cs="Times New Roman"/>
                <w:sz w:val="20"/>
                <w:szCs w:val="20"/>
              </w:rPr>
              <w:t xml:space="preserve"> автономного округа;</w:t>
            </w:r>
            <w:r w:rsidR="00CA38B1" w:rsidRPr="00CA38B1">
              <w:rPr>
                <w:rFonts w:ascii="Times New Roman" w:hAnsi="Times New Roman" w:cs="Times New Roman"/>
                <w:sz w:val="20"/>
                <w:szCs w:val="20"/>
              </w:rPr>
              <w:t xml:space="preserve"> </w:t>
            </w:r>
          </w:p>
          <w:p w:rsidR="00CA38B1" w:rsidRDefault="00CA38B1" w:rsidP="009840A8">
            <w:pPr>
              <w:ind w:firstLine="459"/>
              <w:rPr>
                <w:rFonts w:ascii="Times New Roman" w:hAnsi="Times New Roman" w:cs="Times New Roman"/>
                <w:sz w:val="20"/>
                <w:szCs w:val="20"/>
              </w:rPr>
            </w:pPr>
            <w:r w:rsidRPr="00CA38B1">
              <w:rPr>
                <w:rFonts w:ascii="Times New Roman" w:hAnsi="Times New Roman" w:cs="Times New Roman"/>
                <w:sz w:val="20"/>
                <w:szCs w:val="20"/>
              </w:rPr>
              <w:t>Департамент дорожного хозяйства и транспорта</w:t>
            </w:r>
            <w:r>
              <w:rPr>
                <w:rFonts w:ascii="Times New Roman" w:hAnsi="Times New Roman" w:cs="Times New Roman"/>
                <w:sz w:val="20"/>
                <w:szCs w:val="20"/>
              </w:rPr>
              <w:t xml:space="preserve"> </w:t>
            </w:r>
            <w:r w:rsidR="005D3474">
              <w:rPr>
                <w:rFonts w:ascii="Times New Roman" w:hAnsi="Times New Roman" w:cs="Times New Roman"/>
                <w:sz w:val="20"/>
                <w:szCs w:val="20"/>
              </w:rPr>
              <w:t>автономного округа</w:t>
            </w:r>
            <w:r w:rsidRPr="00CA38B1">
              <w:rPr>
                <w:rFonts w:ascii="Times New Roman" w:hAnsi="Times New Roman" w:cs="Times New Roman"/>
                <w:sz w:val="20"/>
                <w:szCs w:val="20"/>
              </w:rPr>
              <w:t>,</w:t>
            </w:r>
          </w:p>
          <w:p w:rsidR="005D3474" w:rsidRDefault="005D3474" w:rsidP="009840A8">
            <w:pPr>
              <w:ind w:firstLine="459"/>
              <w:rPr>
                <w:rFonts w:ascii="Times New Roman" w:hAnsi="Times New Roman" w:cs="Times New Roman"/>
                <w:sz w:val="20"/>
                <w:szCs w:val="20"/>
              </w:rPr>
            </w:pPr>
            <w:r w:rsidRPr="005D3474">
              <w:rPr>
                <w:rFonts w:ascii="Times New Roman" w:hAnsi="Times New Roman" w:cs="Times New Roman"/>
                <w:sz w:val="20"/>
                <w:szCs w:val="20"/>
              </w:rPr>
              <w:t>Департамент по управлению государственным имуществом</w:t>
            </w:r>
            <w:r>
              <w:rPr>
                <w:rFonts w:ascii="Times New Roman" w:hAnsi="Times New Roman" w:cs="Times New Roman"/>
                <w:sz w:val="20"/>
                <w:szCs w:val="20"/>
              </w:rPr>
              <w:t xml:space="preserve"> автономного округа;</w:t>
            </w:r>
          </w:p>
          <w:p w:rsidR="005D3474" w:rsidRDefault="005D3474" w:rsidP="009840A8">
            <w:pPr>
              <w:ind w:firstLine="459"/>
              <w:rPr>
                <w:rFonts w:ascii="Times New Roman" w:hAnsi="Times New Roman" w:cs="Times New Roman"/>
                <w:sz w:val="20"/>
                <w:szCs w:val="20"/>
              </w:rPr>
            </w:pPr>
            <w:r w:rsidRPr="005D3474">
              <w:rPr>
                <w:rFonts w:ascii="Times New Roman" w:hAnsi="Times New Roman" w:cs="Times New Roman"/>
                <w:sz w:val="20"/>
                <w:szCs w:val="20"/>
              </w:rPr>
              <w:t>Департамент информационных технологий и цифрового развития</w:t>
            </w:r>
            <w:r>
              <w:rPr>
                <w:rFonts w:ascii="Times New Roman" w:hAnsi="Times New Roman" w:cs="Times New Roman"/>
                <w:sz w:val="20"/>
                <w:szCs w:val="20"/>
              </w:rPr>
              <w:t xml:space="preserve"> автономного округа;</w:t>
            </w:r>
          </w:p>
          <w:p w:rsidR="00CA38B1" w:rsidRPr="00CA38B1" w:rsidRDefault="005D3474" w:rsidP="009840A8">
            <w:pPr>
              <w:ind w:firstLine="459"/>
              <w:rPr>
                <w:rFonts w:ascii="Times New Roman" w:hAnsi="Times New Roman" w:cs="Times New Roman"/>
                <w:sz w:val="20"/>
                <w:szCs w:val="20"/>
              </w:rPr>
            </w:pPr>
            <w:r w:rsidRPr="005D3474">
              <w:rPr>
                <w:rFonts w:ascii="Times New Roman" w:hAnsi="Times New Roman" w:cs="Times New Roman"/>
                <w:sz w:val="20"/>
                <w:szCs w:val="20"/>
              </w:rPr>
              <w:t>Департамент экономического развития автономного округа</w:t>
            </w:r>
            <w:r>
              <w:rPr>
                <w:rFonts w:ascii="Times New Roman" w:hAnsi="Times New Roman" w:cs="Times New Roman"/>
                <w:sz w:val="20"/>
                <w:szCs w:val="20"/>
              </w:rPr>
              <w:t>.</w:t>
            </w:r>
          </w:p>
          <w:p w:rsidR="009840A8" w:rsidRDefault="009840A8" w:rsidP="00047D23">
            <w:pPr>
              <w:ind w:firstLine="459"/>
              <w:rPr>
                <w:rFonts w:ascii="Times New Roman" w:hAnsi="Times New Roman" w:cs="Times New Roman"/>
                <w:sz w:val="20"/>
                <w:szCs w:val="20"/>
              </w:rPr>
            </w:pPr>
            <w:r>
              <w:rPr>
                <w:rFonts w:ascii="Times New Roman" w:hAnsi="Times New Roman" w:cs="Times New Roman"/>
                <w:sz w:val="20"/>
                <w:szCs w:val="20"/>
              </w:rPr>
              <w:t>В ходе реализации указанных мероприятий были утверждены</w:t>
            </w:r>
            <w:r w:rsidR="00EB0564">
              <w:rPr>
                <w:rFonts w:ascii="Times New Roman" w:hAnsi="Times New Roman" w:cs="Times New Roman"/>
                <w:sz w:val="20"/>
                <w:szCs w:val="20"/>
              </w:rPr>
              <w:t xml:space="preserve"> (либо внесены изменения</w:t>
            </w:r>
            <w:r w:rsidR="00047D23">
              <w:rPr>
                <w:rFonts w:ascii="Times New Roman" w:hAnsi="Times New Roman" w:cs="Times New Roman"/>
                <w:sz w:val="20"/>
                <w:szCs w:val="20"/>
              </w:rPr>
              <w:t xml:space="preserve"> в</w:t>
            </w:r>
            <w:r w:rsidR="00EB0564">
              <w:rPr>
                <w:rFonts w:ascii="Times New Roman" w:hAnsi="Times New Roman" w:cs="Times New Roman"/>
                <w:sz w:val="20"/>
                <w:szCs w:val="20"/>
              </w:rPr>
              <w:t>)</w:t>
            </w:r>
            <w:r>
              <w:rPr>
                <w:rFonts w:ascii="Times New Roman" w:hAnsi="Times New Roman" w:cs="Times New Roman"/>
                <w:sz w:val="20"/>
                <w:szCs w:val="20"/>
              </w:rPr>
              <w:t xml:space="preserve"> м</w:t>
            </w:r>
            <w:r w:rsidRPr="009840A8">
              <w:rPr>
                <w:rFonts w:ascii="Times New Roman" w:hAnsi="Times New Roman" w:cs="Times New Roman"/>
                <w:sz w:val="20"/>
                <w:szCs w:val="20"/>
              </w:rPr>
              <w:t>етодик</w:t>
            </w:r>
            <w:r>
              <w:rPr>
                <w:rFonts w:ascii="Times New Roman" w:hAnsi="Times New Roman" w:cs="Times New Roman"/>
                <w:sz w:val="20"/>
                <w:szCs w:val="20"/>
              </w:rPr>
              <w:t>и</w:t>
            </w:r>
            <w:r w:rsidRPr="009840A8">
              <w:rPr>
                <w:rFonts w:ascii="Times New Roman" w:hAnsi="Times New Roman" w:cs="Times New Roman"/>
                <w:sz w:val="20"/>
                <w:szCs w:val="20"/>
              </w:rPr>
              <w:t xml:space="preserve"> прогнозирования поступлений доходов</w:t>
            </w:r>
            <w:r>
              <w:rPr>
                <w:rFonts w:ascii="Times New Roman" w:hAnsi="Times New Roman" w:cs="Times New Roman"/>
                <w:sz w:val="20"/>
                <w:szCs w:val="20"/>
              </w:rPr>
              <w:t xml:space="preserve"> в бюджет автономного округа</w:t>
            </w:r>
            <w:r w:rsidR="00EB0564">
              <w:rPr>
                <w:rFonts w:ascii="Times New Roman" w:hAnsi="Times New Roman" w:cs="Times New Roman"/>
                <w:sz w:val="20"/>
                <w:szCs w:val="20"/>
              </w:rPr>
              <w:t xml:space="preserve">, </w:t>
            </w:r>
            <w:r w:rsidR="00047D23" w:rsidRPr="00047D23">
              <w:rPr>
                <w:rFonts w:ascii="Times New Roman" w:hAnsi="Times New Roman" w:cs="Times New Roman"/>
                <w:sz w:val="20"/>
                <w:szCs w:val="20"/>
              </w:rPr>
              <w:t>проведена работа по уточнению невыясненных поступлений</w:t>
            </w:r>
            <w:r w:rsidR="00047D23">
              <w:rPr>
                <w:rFonts w:ascii="Times New Roman" w:hAnsi="Times New Roman" w:cs="Times New Roman"/>
                <w:sz w:val="20"/>
                <w:szCs w:val="20"/>
              </w:rPr>
              <w:t>,</w:t>
            </w:r>
            <w:r w:rsidR="00047D23" w:rsidRPr="00047D23">
              <w:rPr>
                <w:rFonts w:ascii="Times New Roman" w:hAnsi="Times New Roman" w:cs="Times New Roman"/>
                <w:sz w:val="20"/>
                <w:szCs w:val="20"/>
              </w:rPr>
              <w:t xml:space="preserve"> </w:t>
            </w:r>
            <w:r w:rsidR="00EB0564">
              <w:rPr>
                <w:rFonts w:ascii="Times New Roman" w:hAnsi="Times New Roman" w:cs="Times New Roman"/>
                <w:sz w:val="20"/>
                <w:szCs w:val="20"/>
              </w:rPr>
              <w:t>н</w:t>
            </w:r>
            <w:r w:rsidR="00EB0564" w:rsidRPr="00EB0564">
              <w:rPr>
                <w:rFonts w:ascii="Times New Roman" w:hAnsi="Times New Roman" w:cs="Times New Roman"/>
                <w:sz w:val="20"/>
                <w:szCs w:val="20"/>
              </w:rPr>
              <w:t>азначены должностные лица, осуществляющие оперативный контроль за</w:t>
            </w:r>
            <w:r w:rsidR="00EB0564">
              <w:rPr>
                <w:rFonts w:ascii="Times New Roman" w:hAnsi="Times New Roman" w:cs="Times New Roman"/>
                <w:sz w:val="20"/>
                <w:szCs w:val="20"/>
              </w:rPr>
              <w:t xml:space="preserve"> </w:t>
            </w:r>
            <w:r w:rsidR="00EB0564" w:rsidRPr="00EB0564">
              <w:rPr>
                <w:rFonts w:ascii="Times New Roman" w:hAnsi="Times New Roman" w:cs="Times New Roman"/>
                <w:sz w:val="20"/>
                <w:szCs w:val="20"/>
              </w:rPr>
              <w:t xml:space="preserve">исполнением бюджетных ассигнований, </w:t>
            </w:r>
            <w:r w:rsidR="00EB0564">
              <w:rPr>
                <w:rFonts w:ascii="Times New Roman" w:hAnsi="Times New Roman" w:cs="Times New Roman"/>
                <w:sz w:val="20"/>
                <w:szCs w:val="20"/>
              </w:rPr>
              <w:t>своевременностью осуществления</w:t>
            </w:r>
            <w:r w:rsidR="00EB0564" w:rsidRPr="00EB0564">
              <w:rPr>
                <w:rFonts w:ascii="Times New Roman" w:hAnsi="Times New Roman" w:cs="Times New Roman"/>
                <w:sz w:val="20"/>
                <w:szCs w:val="20"/>
              </w:rPr>
              <w:t xml:space="preserve"> </w:t>
            </w:r>
            <w:r w:rsidR="00EB0564">
              <w:rPr>
                <w:rFonts w:ascii="Times New Roman" w:hAnsi="Times New Roman" w:cs="Times New Roman"/>
                <w:sz w:val="20"/>
                <w:szCs w:val="20"/>
              </w:rPr>
              <w:t>закупок.</w:t>
            </w:r>
          </w:p>
          <w:p w:rsidR="000A6260" w:rsidRDefault="000A6260" w:rsidP="000A6260">
            <w:pPr>
              <w:ind w:firstLine="459"/>
              <w:rPr>
                <w:rFonts w:ascii="Times New Roman" w:hAnsi="Times New Roman" w:cs="Times New Roman"/>
                <w:sz w:val="20"/>
                <w:szCs w:val="20"/>
              </w:rPr>
            </w:pPr>
            <w:r>
              <w:rPr>
                <w:rFonts w:ascii="Times New Roman" w:hAnsi="Times New Roman" w:cs="Times New Roman"/>
                <w:sz w:val="20"/>
                <w:szCs w:val="20"/>
              </w:rPr>
              <w:t xml:space="preserve">Не </w:t>
            </w:r>
            <w:r w:rsidRPr="000A6260">
              <w:rPr>
                <w:rFonts w:ascii="Times New Roman" w:hAnsi="Times New Roman" w:cs="Times New Roman"/>
                <w:sz w:val="20"/>
                <w:szCs w:val="20"/>
              </w:rPr>
              <w:t>разработа</w:t>
            </w:r>
            <w:r>
              <w:rPr>
                <w:rFonts w:ascii="Times New Roman" w:hAnsi="Times New Roman" w:cs="Times New Roman"/>
                <w:sz w:val="20"/>
                <w:szCs w:val="20"/>
              </w:rPr>
              <w:t>ны</w:t>
            </w:r>
            <w:r w:rsidRPr="000A6260">
              <w:rPr>
                <w:rFonts w:ascii="Times New Roman" w:hAnsi="Times New Roman" w:cs="Times New Roman"/>
                <w:sz w:val="20"/>
                <w:szCs w:val="20"/>
              </w:rPr>
              <w:t xml:space="preserve"> мероприятия, направленные на повышение качества финансового менеджмента</w:t>
            </w:r>
            <w:r>
              <w:rPr>
                <w:rFonts w:ascii="Times New Roman" w:hAnsi="Times New Roman" w:cs="Times New Roman"/>
                <w:sz w:val="20"/>
                <w:szCs w:val="20"/>
              </w:rPr>
              <w:t>:</w:t>
            </w:r>
          </w:p>
          <w:p w:rsidR="000A6260" w:rsidRDefault="000A6260" w:rsidP="000A6260">
            <w:pPr>
              <w:ind w:firstLine="459"/>
              <w:rPr>
                <w:rFonts w:ascii="Times New Roman" w:hAnsi="Times New Roman" w:cs="Times New Roman"/>
                <w:sz w:val="20"/>
                <w:szCs w:val="20"/>
              </w:rPr>
            </w:pPr>
            <w:r>
              <w:rPr>
                <w:rFonts w:ascii="Times New Roman" w:hAnsi="Times New Roman" w:cs="Times New Roman"/>
                <w:sz w:val="20"/>
                <w:szCs w:val="20"/>
              </w:rPr>
              <w:t>Департаментом государственного заказа автономного округа</w:t>
            </w:r>
            <w:r w:rsidR="00C94527">
              <w:rPr>
                <w:rFonts w:ascii="Times New Roman" w:hAnsi="Times New Roman" w:cs="Times New Roman"/>
                <w:sz w:val="20"/>
                <w:szCs w:val="20"/>
              </w:rPr>
              <w:t>;</w:t>
            </w:r>
          </w:p>
          <w:p w:rsidR="00C94527" w:rsidRDefault="00C94527" w:rsidP="000A6260">
            <w:pPr>
              <w:ind w:firstLine="459"/>
              <w:rPr>
                <w:rFonts w:ascii="Times New Roman" w:hAnsi="Times New Roman" w:cs="Times New Roman"/>
                <w:sz w:val="20"/>
                <w:szCs w:val="20"/>
              </w:rPr>
            </w:pPr>
            <w:r>
              <w:rPr>
                <w:rFonts w:ascii="Times New Roman" w:hAnsi="Times New Roman" w:cs="Times New Roman"/>
                <w:sz w:val="20"/>
                <w:szCs w:val="20"/>
              </w:rPr>
              <w:t xml:space="preserve">Региональной службой </w:t>
            </w:r>
            <w:r w:rsidR="009C633F">
              <w:rPr>
                <w:rFonts w:ascii="Times New Roman" w:hAnsi="Times New Roman" w:cs="Times New Roman"/>
                <w:sz w:val="20"/>
                <w:szCs w:val="20"/>
              </w:rPr>
              <w:t xml:space="preserve">по </w:t>
            </w:r>
            <w:r>
              <w:rPr>
                <w:rFonts w:ascii="Times New Roman" w:hAnsi="Times New Roman" w:cs="Times New Roman"/>
                <w:sz w:val="20"/>
                <w:szCs w:val="20"/>
              </w:rPr>
              <w:t>тарифам автономного округа;</w:t>
            </w:r>
          </w:p>
          <w:p w:rsidR="00C94527" w:rsidRDefault="009C633F" w:rsidP="009C633F">
            <w:pPr>
              <w:ind w:firstLine="459"/>
              <w:rPr>
                <w:rFonts w:ascii="Times New Roman" w:hAnsi="Times New Roman" w:cs="Times New Roman"/>
                <w:sz w:val="20"/>
                <w:szCs w:val="20"/>
              </w:rPr>
            </w:pPr>
            <w:r w:rsidRPr="009C633F">
              <w:rPr>
                <w:rFonts w:ascii="Times New Roman" w:hAnsi="Times New Roman" w:cs="Times New Roman"/>
                <w:sz w:val="20"/>
                <w:szCs w:val="20"/>
              </w:rPr>
              <w:t>Департамент</w:t>
            </w:r>
            <w:r>
              <w:rPr>
                <w:rFonts w:ascii="Times New Roman" w:hAnsi="Times New Roman" w:cs="Times New Roman"/>
                <w:sz w:val="20"/>
                <w:szCs w:val="20"/>
              </w:rPr>
              <w:t>ом</w:t>
            </w:r>
            <w:r w:rsidRPr="009C633F">
              <w:rPr>
                <w:rFonts w:ascii="Times New Roman" w:hAnsi="Times New Roman" w:cs="Times New Roman"/>
                <w:sz w:val="20"/>
                <w:szCs w:val="20"/>
              </w:rPr>
              <w:t xml:space="preserve"> внутренней политики </w:t>
            </w:r>
            <w:r>
              <w:rPr>
                <w:rFonts w:ascii="Times New Roman" w:hAnsi="Times New Roman" w:cs="Times New Roman"/>
                <w:sz w:val="20"/>
                <w:szCs w:val="20"/>
              </w:rPr>
              <w:t>автономного округа;</w:t>
            </w:r>
          </w:p>
          <w:p w:rsidR="009C633F" w:rsidRDefault="009C633F" w:rsidP="009C633F">
            <w:pPr>
              <w:ind w:firstLine="459"/>
              <w:rPr>
                <w:rFonts w:ascii="Times New Roman" w:hAnsi="Times New Roman" w:cs="Times New Roman"/>
                <w:sz w:val="20"/>
                <w:szCs w:val="20"/>
              </w:rPr>
            </w:pPr>
            <w:r w:rsidRPr="009C633F">
              <w:rPr>
                <w:rFonts w:ascii="Times New Roman" w:hAnsi="Times New Roman" w:cs="Times New Roman"/>
                <w:sz w:val="20"/>
                <w:szCs w:val="20"/>
              </w:rPr>
              <w:t>Счетн</w:t>
            </w:r>
            <w:r>
              <w:rPr>
                <w:rFonts w:ascii="Times New Roman" w:hAnsi="Times New Roman" w:cs="Times New Roman"/>
                <w:sz w:val="20"/>
                <w:szCs w:val="20"/>
              </w:rPr>
              <w:t>ой</w:t>
            </w:r>
            <w:r w:rsidRPr="009C633F">
              <w:rPr>
                <w:rFonts w:ascii="Times New Roman" w:hAnsi="Times New Roman" w:cs="Times New Roman"/>
                <w:sz w:val="20"/>
                <w:szCs w:val="20"/>
              </w:rPr>
              <w:t xml:space="preserve"> палат</w:t>
            </w:r>
            <w:r>
              <w:rPr>
                <w:rFonts w:ascii="Times New Roman" w:hAnsi="Times New Roman" w:cs="Times New Roman"/>
                <w:sz w:val="20"/>
                <w:szCs w:val="20"/>
              </w:rPr>
              <w:t>ой автономного округа;</w:t>
            </w:r>
          </w:p>
          <w:p w:rsidR="009C633F" w:rsidRDefault="009C633F" w:rsidP="009C633F">
            <w:pPr>
              <w:ind w:firstLine="459"/>
              <w:rPr>
                <w:rFonts w:ascii="Times New Roman" w:hAnsi="Times New Roman" w:cs="Times New Roman"/>
                <w:sz w:val="20"/>
                <w:szCs w:val="20"/>
              </w:rPr>
            </w:pPr>
            <w:r>
              <w:rPr>
                <w:rFonts w:ascii="Times New Roman" w:hAnsi="Times New Roman" w:cs="Times New Roman"/>
                <w:sz w:val="20"/>
                <w:szCs w:val="20"/>
              </w:rPr>
              <w:t>Службой</w:t>
            </w:r>
            <w:r w:rsidRPr="009C633F">
              <w:rPr>
                <w:rFonts w:ascii="Times New Roman" w:hAnsi="Times New Roman" w:cs="Times New Roman"/>
                <w:sz w:val="20"/>
                <w:szCs w:val="20"/>
              </w:rPr>
              <w:t xml:space="preserve"> контроля</w:t>
            </w:r>
            <w:r>
              <w:rPr>
                <w:rFonts w:ascii="Times New Roman" w:hAnsi="Times New Roman" w:cs="Times New Roman"/>
                <w:sz w:val="20"/>
                <w:szCs w:val="20"/>
              </w:rPr>
              <w:t xml:space="preserve"> автономного округа;</w:t>
            </w:r>
          </w:p>
          <w:p w:rsidR="009C633F" w:rsidRDefault="009C633F" w:rsidP="009C633F">
            <w:pPr>
              <w:ind w:firstLine="459"/>
              <w:rPr>
                <w:rFonts w:ascii="Times New Roman" w:hAnsi="Times New Roman" w:cs="Times New Roman"/>
                <w:sz w:val="20"/>
                <w:szCs w:val="20"/>
              </w:rPr>
            </w:pPr>
            <w:r w:rsidRPr="009C633F">
              <w:rPr>
                <w:rFonts w:ascii="Times New Roman" w:hAnsi="Times New Roman" w:cs="Times New Roman"/>
                <w:sz w:val="20"/>
                <w:szCs w:val="20"/>
              </w:rPr>
              <w:t>Дум</w:t>
            </w:r>
            <w:r>
              <w:rPr>
                <w:rFonts w:ascii="Times New Roman" w:hAnsi="Times New Roman" w:cs="Times New Roman"/>
                <w:sz w:val="20"/>
                <w:szCs w:val="20"/>
              </w:rPr>
              <w:t>ой автономного округа;</w:t>
            </w:r>
          </w:p>
          <w:p w:rsidR="009C633F" w:rsidRDefault="009C633F" w:rsidP="009C633F">
            <w:pPr>
              <w:ind w:firstLine="459"/>
              <w:rPr>
                <w:rFonts w:ascii="Times New Roman" w:hAnsi="Times New Roman" w:cs="Times New Roman"/>
                <w:sz w:val="20"/>
                <w:szCs w:val="20"/>
              </w:rPr>
            </w:pPr>
            <w:r w:rsidRPr="009C633F">
              <w:rPr>
                <w:rFonts w:ascii="Times New Roman" w:hAnsi="Times New Roman" w:cs="Times New Roman"/>
                <w:sz w:val="20"/>
                <w:szCs w:val="20"/>
              </w:rPr>
              <w:t>Представительство</w:t>
            </w:r>
            <w:r>
              <w:rPr>
                <w:rFonts w:ascii="Times New Roman" w:hAnsi="Times New Roman" w:cs="Times New Roman"/>
                <w:sz w:val="20"/>
                <w:szCs w:val="20"/>
              </w:rPr>
              <w:t>м</w:t>
            </w:r>
            <w:r w:rsidRPr="009C633F">
              <w:rPr>
                <w:rFonts w:ascii="Times New Roman" w:hAnsi="Times New Roman" w:cs="Times New Roman"/>
                <w:sz w:val="20"/>
                <w:szCs w:val="20"/>
              </w:rPr>
              <w:t xml:space="preserve"> автономного округа при Правительстве Российской Федерации и в субъектах Российской Федерации</w:t>
            </w:r>
            <w:r>
              <w:rPr>
                <w:rFonts w:ascii="Times New Roman" w:hAnsi="Times New Roman" w:cs="Times New Roman"/>
                <w:sz w:val="20"/>
                <w:szCs w:val="20"/>
              </w:rPr>
              <w:t>;</w:t>
            </w:r>
          </w:p>
          <w:p w:rsidR="009C633F" w:rsidRDefault="009C633F" w:rsidP="009C633F">
            <w:pPr>
              <w:ind w:firstLine="459"/>
              <w:rPr>
                <w:rFonts w:ascii="Times New Roman" w:hAnsi="Times New Roman" w:cs="Times New Roman"/>
                <w:sz w:val="20"/>
                <w:szCs w:val="20"/>
              </w:rPr>
            </w:pPr>
            <w:r w:rsidRPr="009C633F">
              <w:rPr>
                <w:rFonts w:ascii="Times New Roman" w:hAnsi="Times New Roman" w:cs="Times New Roman"/>
                <w:sz w:val="20"/>
                <w:szCs w:val="20"/>
              </w:rPr>
              <w:t>Департамент</w:t>
            </w:r>
            <w:r>
              <w:rPr>
                <w:rFonts w:ascii="Times New Roman" w:hAnsi="Times New Roman" w:cs="Times New Roman"/>
                <w:sz w:val="20"/>
                <w:szCs w:val="20"/>
              </w:rPr>
              <w:t>ом</w:t>
            </w:r>
            <w:r w:rsidRPr="009C633F">
              <w:rPr>
                <w:rFonts w:ascii="Times New Roman" w:hAnsi="Times New Roman" w:cs="Times New Roman"/>
                <w:sz w:val="20"/>
                <w:szCs w:val="20"/>
              </w:rPr>
              <w:t xml:space="preserve"> жилищно-коммунального комплекса и энергетики</w:t>
            </w:r>
            <w:r>
              <w:rPr>
                <w:rFonts w:ascii="Times New Roman" w:hAnsi="Times New Roman" w:cs="Times New Roman"/>
                <w:sz w:val="20"/>
                <w:szCs w:val="20"/>
              </w:rPr>
              <w:t xml:space="preserve"> автономного округа;</w:t>
            </w:r>
          </w:p>
          <w:p w:rsidR="009C633F" w:rsidRDefault="009C633F" w:rsidP="009C633F">
            <w:pPr>
              <w:ind w:firstLine="459"/>
              <w:rPr>
                <w:rFonts w:ascii="Times New Roman" w:hAnsi="Times New Roman" w:cs="Times New Roman"/>
                <w:sz w:val="20"/>
                <w:szCs w:val="20"/>
              </w:rPr>
            </w:pPr>
            <w:r w:rsidRPr="009C633F">
              <w:rPr>
                <w:rFonts w:ascii="Times New Roman" w:hAnsi="Times New Roman" w:cs="Times New Roman"/>
                <w:sz w:val="20"/>
                <w:szCs w:val="20"/>
              </w:rPr>
              <w:t>Избирательн</w:t>
            </w:r>
            <w:r>
              <w:rPr>
                <w:rFonts w:ascii="Times New Roman" w:hAnsi="Times New Roman" w:cs="Times New Roman"/>
                <w:sz w:val="20"/>
                <w:szCs w:val="20"/>
              </w:rPr>
              <w:t>ой</w:t>
            </w:r>
            <w:r w:rsidRPr="009C633F">
              <w:rPr>
                <w:rFonts w:ascii="Times New Roman" w:hAnsi="Times New Roman" w:cs="Times New Roman"/>
                <w:sz w:val="20"/>
                <w:szCs w:val="20"/>
              </w:rPr>
              <w:t xml:space="preserve"> комисси</w:t>
            </w:r>
            <w:r>
              <w:rPr>
                <w:rFonts w:ascii="Times New Roman" w:hAnsi="Times New Roman" w:cs="Times New Roman"/>
                <w:sz w:val="20"/>
                <w:szCs w:val="20"/>
              </w:rPr>
              <w:t>ей автономного округа;</w:t>
            </w:r>
          </w:p>
          <w:p w:rsidR="009C633F" w:rsidRDefault="009C633F" w:rsidP="009C633F">
            <w:pPr>
              <w:ind w:firstLine="459"/>
              <w:rPr>
                <w:rFonts w:ascii="Times New Roman" w:hAnsi="Times New Roman" w:cs="Times New Roman"/>
                <w:sz w:val="20"/>
                <w:szCs w:val="20"/>
              </w:rPr>
            </w:pPr>
            <w:r w:rsidRPr="009C633F">
              <w:rPr>
                <w:rFonts w:ascii="Times New Roman" w:hAnsi="Times New Roman" w:cs="Times New Roman"/>
                <w:sz w:val="20"/>
                <w:szCs w:val="20"/>
              </w:rPr>
              <w:t>Департамент</w:t>
            </w:r>
            <w:r>
              <w:rPr>
                <w:rFonts w:ascii="Times New Roman" w:hAnsi="Times New Roman" w:cs="Times New Roman"/>
                <w:sz w:val="20"/>
                <w:szCs w:val="20"/>
              </w:rPr>
              <w:t>ом</w:t>
            </w:r>
            <w:r w:rsidRPr="009C633F">
              <w:rPr>
                <w:rFonts w:ascii="Times New Roman" w:hAnsi="Times New Roman" w:cs="Times New Roman"/>
                <w:sz w:val="20"/>
                <w:szCs w:val="20"/>
              </w:rPr>
              <w:t xml:space="preserve"> труда и занятости населения</w:t>
            </w:r>
            <w:r>
              <w:rPr>
                <w:rFonts w:ascii="Times New Roman" w:hAnsi="Times New Roman" w:cs="Times New Roman"/>
                <w:sz w:val="20"/>
                <w:szCs w:val="20"/>
              </w:rPr>
              <w:t xml:space="preserve"> автономного округа;</w:t>
            </w:r>
          </w:p>
          <w:p w:rsidR="009C633F" w:rsidRDefault="009C633F" w:rsidP="009C633F">
            <w:pPr>
              <w:ind w:firstLine="459"/>
              <w:rPr>
                <w:rFonts w:ascii="Times New Roman" w:hAnsi="Times New Roman" w:cs="Times New Roman"/>
                <w:sz w:val="20"/>
                <w:szCs w:val="20"/>
              </w:rPr>
            </w:pPr>
            <w:r w:rsidRPr="009C633F">
              <w:rPr>
                <w:rFonts w:ascii="Times New Roman" w:hAnsi="Times New Roman" w:cs="Times New Roman"/>
                <w:sz w:val="20"/>
                <w:szCs w:val="20"/>
              </w:rPr>
              <w:t>Служб</w:t>
            </w:r>
            <w:r>
              <w:rPr>
                <w:rFonts w:ascii="Times New Roman" w:hAnsi="Times New Roman" w:cs="Times New Roman"/>
                <w:sz w:val="20"/>
                <w:szCs w:val="20"/>
              </w:rPr>
              <w:t>ой</w:t>
            </w:r>
            <w:r w:rsidRPr="009C633F">
              <w:rPr>
                <w:rFonts w:ascii="Times New Roman" w:hAnsi="Times New Roman" w:cs="Times New Roman"/>
                <w:sz w:val="20"/>
                <w:szCs w:val="20"/>
              </w:rPr>
              <w:t xml:space="preserve"> жилищного и строительного надзора</w:t>
            </w:r>
            <w:r>
              <w:rPr>
                <w:rFonts w:ascii="Times New Roman" w:hAnsi="Times New Roman" w:cs="Times New Roman"/>
                <w:sz w:val="20"/>
                <w:szCs w:val="20"/>
              </w:rPr>
              <w:t xml:space="preserve"> автономного округа;</w:t>
            </w:r>
          </w:p>
          <w:p w:rsidR="009C633F" w:rsidRDefault="009C633F" w:rsidP="009C633F">
            <w:pPr>
              <w:ind w:firstLine="459"/>
              <w:rPr>
                <w:rFonts w:ascii="Times New Roman" w:hAnsi="Times New Roman" w:cs="Times New Roman"/>
                <w:sz w:val="20"/>
                <w:szCs w:val="20"/>
              </w:rPr>
            </w:pPr>
            <w:r w:rsidRPr="009C633F">
              <w:rPr>
                <w:rFonts w:ascii="Times New Roman" w:hAnsi="Times New Roman" w:cs="Times New Roman"/>
                <w:sz w:val="20"/>
                <w:szCs w:val="20"/>
              </w:rPr>
              <w:t>Департамент</w:t>
            </w:r>
            <w:r>
              <w:rPr>
                <w:rFonts w:ascii="Times New Roman" w:hAnsi="Times New Roman" w:cs="Times New Roman"/>
                <w:sz w:val="20"/>
                <w:szCs w:val="20"/>
              </w:rPr>
              <w:t>ом</w:t>
            </w:r>
            <w:r w:rsidRPr="009C633F">
              <w:rPr>
                <w:rFonts w:ascii="Times New Roman" w:hAnsi="Times New Roman" w:cs="Times New Roman"/>
                <w:sz w:val="20"/>
                <w:szCs w:val="20"/>
              </w:rPr>
              <w:t xml:space="preserve"> социального развития</w:t>
            </w:r>
            <w:r>
              <w:rPr>
                <w:rFonts w:ascii="Times New Roman" w:hAnsi="Times New Roman" w:cs="Times New Roman"/>
                <w:sz w:val="20"/>
                <w:szCs w:val="20"/>
              </w:rPr>
              <w:t xml:space="preserve"> автономного округа;</w:t>
            </w:r>
          </w:p>
          <w:p w:rsidR="00C6080D" w:rsidRDefault="00C6080D" w:rsidP="00C6080D">
            <w:pPr>
              <w:ind w:firstLine="459"/>
              <w:rPr>
                <w:rFonts w:ascii="Times New Roman" w:hAnsi="Times New Roman" w:cs="Times New Roman"/>
                <w:sz w:val="20"/>
                <w:szCs w:val="20"/>
              </w:rPr>
            </w:pPr>
            <w:r w:rsidRPr="009C633F">
              <w:rPr>
                <w:rFonts w:ascii="Times New Roman" w:hAnsi="Times New Roman" w:cs="Times New Roman"/>
                <w:sz w:val="20"/>
                <w:szCs w:val="20"/>
              </w:rPr>
              <w:t>Департамент</w:t>
            </w:r>
            <w:r>
              <w:rPr>
                <w:rFonts w:ascii="Times New Roman" w:hAnsi="Times New Roman" w:cs="Times New Roman"/>
                <w:sz w:val="20"/>
                <w:szCs w:val="20"/>
              </w:rPr>
              <w:t>ом</w:t>
            </w:r>
            <w:r w:rsidRPr="009C633F">
              <w:rPr>
                <w:rFonts w:ascii="Times New Roman" w:hAnsi="Times New Roman" w:cs="Times New Roman"/>
                <w:sz w:val="20"/>
                <w:szCs w:val="20"/>
              </w:rPr>
              <w:t xml:space="preserve"> гражданской защиты населения</w:t>
            </w:r>
            <w:r>
              <w:rPr>
                <w:rFonts w:ascii="Times New Roman" w:hAnsi="Times New Roman" w:cs="Times New Roman"/>
                <w:sz w:val="20"/>
                <w:szCs w:val="20"/>
              </w:rPr>
              <w:t xml:space="preserve"> автономного округа;</w:t>
            </w:r>
          </w:p>
          <w:p w:rsidR="00C6080D" w:rsidRDefault="00C6080D" w:rsidP="00C6080D">
            <w:pPr>
              <w:ind w:firstLine="459"/>
              <w:rPr>
                <w:rFonts w:ascii="Times New Roman" w:hAnsi="Times New Roman" w:cs="Times New Roman"/>
                <w:sz w:val="20"/>
                <w:szCs w:val="20"/>
              </w:rPr>
            </w:pPr>
            <w:r w:rsidRPr="009C633F">
              <w:rPr>
                <w:rFonts w:ascii="Times New Roman" w:hAnsi="Times New Roman" w:cs="Times New Roman"/>
                <w:sz w:val="20"/>
                <w:szCs w:val="20"/>
              </w:rPr>
              <w:t>Служб</w:t>
            </w:r>
            <w:r>
              <w:rPr>
                <w:rFonts w:ascii="Times New Roman" w:hAnsi="Times New Roman" w:cs="Times New Roman"/>
                <w:sz w:val="20"/>
                <w:szCs w:val="20"/>
              </w:rPr>
              <w:t>ой</w:t>
            </w:r>
            <w:r w:rsidRPr="009C633F">
              <w:rPr>
                <w:rFonts w:ascii="Times New Roman" w:hAnsi="Times New Roman" w:cs="Times New Roman"/>
                <w:sz w:val="20"/>
                <w:szCs w:val="20"/>
              </w:rPr>
              <w:t xml:space="preserve"> государственной охраны объектов культурного наследия</w:t>
            </w:r>
            <w:r>
              <w:rPr>
                <w:rFonts w:ascii="Times New Roman" w:hAnsi="Times New Roman" w:cs="Times New Roman"/>
                <w:sz w:val="20"/>
                <w:szCs w:val="20"/>
              </w:rPr>
              <w:t xml:space="preserve"> автономного округа;</w:t>
            </w:r>
          </w:p>
          <w:p w:rsidR="00C6080D" w:rsidRDefault="00C6080D" w:rsidP="00C6080D">
            <w:pPr>
              <w:ind w:firstLine="459"/>
              <w:rPr>
                <w:rFonts w:ascii="Times New Roman" w:hAnsi="Times New Roman" w:cs="Times New Roman"/>
                <w:sz w:val="20"/>
                <w:szCs w:val="20"/>
              </w:rPr>
            </w:pPr>
            <w:r w:rsidRPr="009C633F">
              <w:rPr>
                <w:rFonts w:ascii="Times New Roman" w:hAnsi="Times New Roman" w:cs="Times New Roman"/>
                <w:sz w:val="20"/>
                <w:szCs w:val="20"/>
              </w:rPr>
              <w:t>Департамент</w:t>
            </w:r>
            <w:r>
              <w:rPr>
                <w:rFonts w:ascii="Times New Roman" w:hAnsi="Times New Roman" w:cs="Times New Roman"/>
                <w:sz w:val="20"/>
                <w:szCs w:val="20"/>
              </w:rPr>
              <w:t>ом</w:t>
            </w:r>
            <w:r w:rsidRPr="009C633F">
              <w:rPr>
                <w:rFonts w:ascii="Times New Roman" w:hAnsi="Times New Roman" w:cs="Times New Roman"/>
                <w:sz w:val="20"/>
                <w:szCs w:val="20"/>
              </w:rPr>
              <w:t xml:space="preserve"> здравоохранения</w:t>
            </w:r>
            <w:r>
              <w:rPr>
                <w:rFonts w:ascii="Times New Roman" w:hAnsi="Times New Roman" w:cs="Times New Roman"/>
                <w:sz w:val="20"/>
                <w:szCs w:val="20"/>
              </w:rPr>
              <w:t xml:space="preserve"> автономного округа;</w:t>
            </w:r>
          </w:p>
          <w:p w:rsidR="00C6080D" w:rsidRDefault="00C6080D" w:rsidP="00C6080D">
            <w:pPr>
              <w:ind w:firstLine="459"/>
              <w:rPr>
                <w:rFonts w:ascii="Times New Roman" w:hAnsi="Times New Roman" w:cs="Times New Roman"/>
                <w:sz w:val="20"/>
                <w:szCs w:val="20"/>
              </w:rPr>
            </w:pPr>
            <w:r w:rsidRPr="009C633F">
              <w:rPr>
                <w:rFonts w:ascii="Times New Roman" w:hAnsi="Times New Roman" w:cs="Times New Roman"/>
                <w:sz w:val="20"/>
                <w:szCs w:val="20"/>
              </w:rPr>
              <w:t>Департамент</w:t>
            </w:r>
            <w:r>
              <w:rPr>
                <w:rFonts w:ascii="Times New Roman" w:hAnsi="Times New Roman" w:cs="Times New Roman"/>
                <w:sz w:val="20"/>
                <w:szCs w:val="20"/>
              </w:rPr>
              <w:t>ом</w:t>
            </w:r>
            <w:r w:rsidRPr="009C633F">
              <w:rPr>
                <w:rFonts w:ascii="Times New Roman" w:hAnsi="Times New Roman" w:cs="Times New Roman"/>
                <w:sz w:val="20"/>
                <w:szCs w:val="20"/>
              </w:rPr>
              <w:t xml:space="preserve"> физической культуры и спорта</w:t>
            </w:r>
            <w:r>
              <w:rPr>
                <w:rFonts w:ascii="Times New Roman" w:hAnsi="Times New Roman" w:cs="Times New Roman"/>
                <w:sz w:val="20"/>
                <w:szCs w:val="20"/>
              </w:rPr>
              <w:t xml:space="preserve"> автономного округа;</w:t>
            </w:r>
          </w:p>
          <w:p w:rsidR="00C6080D" w:rsidRDefault="00C6080D" w:rsidP="00C6080D">
            <w:pPr>
              <w:ind w:firstLine="459"/>
              <w:rPr>
                <w:rFonts w:ascii="Times New Roman" w:hAnsi="Times New Roman" w:cs="Times New Roman"/>
                <w:sz w:val="20"/>
                <w:szCs w:val="20"/>
              </w:rPr>
            </w:pPr>
            <w:r w:rsidRPr="009C633F">
              <w:rPr>
                <w:rFonts w:ascii="Times New Roman" w:hAnsi="Times New Roman" w:cs="Times New Roman"/>
                <w:sz w:val="20"/>
                <w:szCs w:val="20"/>
              </w:rPr>
              <w:t>Департамент</w:t>
            </w:r>
            <w:r>
              <w:rPr>
                <w:rFonts w:ascii="Times New Roman" w:hAnsi="Times New Roman" w:cs="Times New Roman"/>
                <w:sz w:val="20"/>
                <w:szCs w:val="20"/>
              </w:rPr>
              <w:t>ом</w:t>
            </w:r>
            <w:r w:rsidRPr="009C633F">
              <w:rPr>
                <w:rFonts w:ascii="Times New Roman" w:hAnsi="Times New Roman" w:cs="Times New Roman"/>
                <w:sz w:val="20"/>
                <w:szCs w:val="20"/>
              </w:rPr>
              <w:t xml:space="preserve"> общественных и внешних связей</w:t>
            </w:r>
            <w:r>
              <w:rPr>
                <w:rFonts w:ascii="Times New Roman" w:hAnsi="Times New Roman" w:cs="Times New Roman"/>
                <w:sz w:val="20"/>
                <w:szCs w:val="20"/>
              </w:rPr>
              <w:t xml:space="preserve"> автономного округа;</w:t>
            </w:r>
          </w:p>
          <w:p w:rsidR="00C6080D" w:rsidRDefault="00C6080D" w:rsidP="00C6080D">
            <w:pPr>
              <w:ind w:firstLine="459"/>
              <w:rPr>
                <w:rFonts w:ascii="Times New Roman" w:hAnsi="Times New Roman" w:cs="Times New Roman"/>
                <w:sz w:val="20"/>
                <w:szCs w:val="20"/>
              </w:rPr>
            </w:pPr>
            <w:r w:rsidRPr="00C5685C">
              <w:rPr>
                <w:rFonts w:ascii="Times New Roman" w:hAnsi="Times New Roman" w:cs="Times New Roman"/>
                <w:sz w:val="20"/>
                <w:szCs w:val="20"/>
              </w:rPr>
              <w:t>Аппарат</w:t>
            </w:r>
            <w:r>
              <w:rPr>
                <w:rFonts w:ascii="Times New Roman" w:hAnsi="Times New Roman" w:cs="Times New Roman"/>
                <w:sz w:val="20"/>
                <w:szCs w:val="20"/>
              </w:rPr>
              <w:t xml:space="preserve">ом </w:t>
            </w:r>
            <w:r w:rsidRPr="00C5685C">
              <w:rPr>
                <w:rFonts w:ascii="Times New Roman" w:hAnsi="Times New Roman" w:cs="Times New Roman"/>
                <w:sz w:val="20"/>
                <w:szCs w:val="20"/>
              </w:rPr>
              <w:t>Губернатора</w:t>
            </w:r>
            <w:r>
              <w:rPr>
                <w:rFonts w:ascii="Times New Roman" w:hAnsi="Times New Roman" w:cs="Times New Roman"/>
                <w:sz w:val="20"/>
                <w:szCs w:val="20"/>
              </w:rPr>
              <w:t xml:space="preserve"> автономного округа;</w:t>
            </w:r>
          </w:p>
          <w:p w:rsidR="00C6080D" w:rsidRDefault="00C6080D" w:rsidP="00C6080D">
            <w:pPr>
              <w:ind w:firstLine="459"/>
              <w:rPr>
                <w:rFonts w:ascii="Times New Roman" w:hAnsi="Times New Roman" w:cs="Times New Roman"/>
                <w:sz w:val="20"/>
                <w:szCs w:val="20"/>
              </w:rPr>
            </w:pPr>
            <w:r w:rsidRPr="00C5685C">
              <w:rPr>
                <w:rFonts w:ascii="Times New Roman" w:hAnsi="Times New Roman" w:cs="Times New Roman"/>
                <w:sz w:val="20"/>
                <w:szCs w:val="20"/>
              </w:rPr>
              <w:lastRenderedPageBreak/>
              <w:t>Департамент</w:t>
            </w:r>
            <w:r>
              <w:rPr>
                <w:rFonts w:ascii="Times New Roman" w:hAnsi="Times New Roman" w:cs="Times New Roman"/>
                <w:sz w:val="20"/>
                <w:szCs w:val="20"/>
              </w:rPr>
              <w:t>ом</w:t>
            </w:r>
            <w:r w:rsidRPr="00C5685C">
              <w:rPr>
                <w:rFonts w:ascii="Times New Roman" w:hAnsi="Times New Roman" w:cs="Times New Roman"/>
                <w:sz w:val="20"/>
                <w:szCs w:val="20"/>
              </w:rPr>
              <w:t xml:space="preserve"> государственной гражданской службы и кадровой политики</w:t>
            </w:r>
            <w:r>
              <w:rPr>
                <w:rFonts w:ascii="Times New Roman" w:hAnsi="Times New Roman" w:cs="Times New Roman"/>
                <w:sz w:val="20"/>
                <w:szCs w:val="20"/>
              </w:rPr>
              <w:t xml:space="preserve"> автономного округа;</w:t>
            </w:r>
          </w:p>
          <w:p w:rsidR="00C6080D" w:rsidRPr="009B771C" w:rsidRDefault="00C6080D" w:rsidP="00C6080D">
            <w:pPr>
              <w:ind w:firstLine="459"/>
              <w:rPr>
                <w:rFonts w:ascii="Times New Roman" w:hAnsi="Times New Roman" w:cs="Times New Roman"/>
                <w:sz w:val="20"/>
                <w:szCs w:val="20"/>
              </w:rPr>
            </w:pPr>
            <w:r w:rsidRPr="00C5685C">
              <w:rPr>
                <w:rFonts w:ascii="Times New Roman" w:hAnsi="Times New Roman" w:cs="Times New Roman"/>
                <w:sz w:val="20"/>
                <w:szCs w:val="20"/>
              </w:rPr>
              <w:t>Департамент</w:t>
            </w:r>
            <w:r>
              <w:rPr>
                <w:rFonts w:ascii="Times New Roman" w:hAnsi="Times New Roman" w:cs="Times New Roman"/>
                <w:sz w:val="20"/>
                <w:szCs w:val="20"/>
              </w:rPr>
              <w:t>ом</w:t>
            </w:r>
            <w:r w:rsidRPr="00C5685C">
              <w:rPr>
                <w:rFonts w:ascii="Times New Roman" w:hAnsi="Times New Roman" w:cs="Times New Roman"/>
                <w:sz w:val="20"/>
                <w:szCs w:val="20"/>
              </w:rPr>
              <w:t xml:space="preserve"> строительства</w:t>
            </w:r>
            <w:r>
              <w:rPr>
                <w:rFonts w:ascii="Times New Roman" w:hAnsi="Times New Roman" w:cs="Times New Roman"/>
                <w:sz w:val="20"/>
                <w:szCs w:val="20"/>
              </w:rPr>
              <w:t xml:space="preserve"> автономного округа.</w:t>
            </w:r>
          </w:p>
        </w:tc>
      </w:tr>
      <w:tr w:rsidR="0012029A" w:rsidTr="00C6080D">
        <w:trPr>
          <w:cantSplit/>
        </w:trPr>
        <w:tc>
          <w:tcPr>
            <w:tcW w:w="1485" w:type="dxa"/>
            <w:tcBorders>
              <w:bottom w:val="single" w:sz="4" w:space="0" w:color="auto"/>
            </w:tcBorders>
          </w:tcPr>
          <w:p w:rsidR="0012029A" w:rsidRPr="001D0F88" w:rsidRDefault="0012029A" w:rsidP="0012029A">
            <w:pPr>
              <w:jc w:val="center"/>
              <w:rPr>
                <w:rFonts w:ascii="Times New Roman" w:hAnsi="Times New Roman" w:cs="Times New Roman"/>
                <w:sz w:val="20"/>
                <w:szCs w:val="20"/>
              </w:rPr>
            </w:pPr>
          </w:p>
        </w:tc>
        <w:tc>
          <w:tcPr>
            <w:tcW w:w="7128" w:type="dxa"/>
          </w:tcPr>
          <w:p w:rsidR="0012029A" w:rsidRPr="00230DE4" w:rsidRDefault="0012029A" w:rsidP="0012029A">
            <w:pPr>
              <w:autoSpaceDE w:val="0"/>
              <w:autoSpaceDN w:val="0"/>
              <w:adjustRightInd w:val="0"/>
              <w:contextualSpacing/>
              <w:jc w:val="both"/>
              <w:rPr>
                <w:rFonts w:ascii="Times New Roman" w:hAnsi="Times New Roman" w:cs="Times New Roman"/>
                <w:sz w:val="20"/>
                <w:szCs w:val="20"/>
              </w:rPr>
            </w:pPr>
            <w:r>
              <w:rPr>
                <w:rFonts w:ascii="Times New Roman" w:hAnsi="Times New Roman" w:cs="Times New Roman"/>
                <w:sz w:val="20"/>
                <w:szCs w:val="20"/>
              </w:rPr>
              <w:t xml:space="preserve">г) </w:t>
            </w:r>
            <w:r w:rsidR="003D2161" w:rsidRPr="003D2161">
              <w:rPr>
                <w:rFonts w:ascii="Times New Roman" w:hAnsi="Times New Roman" w:cs="Times New Roman"/>
                <w:sz w:val="20"/>
                <w:szCs w:val="20"/>
              </w:rPr>
              <w:t>обоснование при подготовке предложений по внесению изменений в Закон причин изменений с учетом оценки их влияния на целевые показатели соответствующей государственной программы автономного округа, результаты реализации региональных проектов, обеспечивающих достижение целей, показателей и результатов федеральных проектов</w:t>
            </w:r>
            <w:r w:rsidR="003D2161">
              <w:rPr>
                <w:rFonts w:ascii="Times New Roman" w:hAnsi="Times New Roman" w:cs="Times New Roman"/>
                <w:sz w:val="20"/>
                <w:szCs w:val="20"/>
              </w:rPr>
              <w:t>;</w:t>
            </w:r>
          </w:p>
        </w:tc>
        <w:tc>
          <w:tcPr>
            <w:tcW w:w="6663" w:type="dxa"/>
            <w:tcBorders>
              <w:bottom w:val="single" w:sz="4" w:space="0" w:color="auto"/>
            </w:tcBorders>
          </w:tcPr>
          <w:p w:rsidR="0012029A" w:rsidRPr="001D0F88" w:rsidRDefault="006E5EB3" w:rsidP="00233229">
            <w:pPr>
              <w:ind w:firstLine="459"/>
              <w:jc w:val="both"/>
              <w:rPr>
                <w:rFonts w:ascii="Times New Roman" w:hAnsi="Times New Roman" w:cs="Times New Roman"/>
                <w:sz w:val="20"/>
                <w:szCs w:val="20"/>
              </w:rPr>
            </w:pPr>
            <w:r>
              <w:rPr>
                <w:rFonts w:ascii="Times New Roman" w:hAnsi="Times New Roman" w:cs="Times New Roman"/>
                <w:sz w:val="20"/>
                <w:szCs w:val="20"/>
              </w:rPr>
              <w:t xml:space="preserve">при подготовке предложений по </w:t>
            </w:r>
            <w:r w:rsidRPr="003D2161">
              <w:rPr>
                <w:rFonts w:ascii="Times New Roman" w:hAnsi="Times New Roman" w:cs="Times New Roman"/>
                <w:sz w:val="20"/>
                <w:szCs w:val="20"/>
              </w:rPr>
              <w:t xml:space="preserve">внесению изменений в Закон </w:t>
            </w:r>
            <w:r>
              <w:rPr>
                <w:rFonts w:ascii="Times New Roman" w:hAnsi="Times New Roman" w:cs="Times New Roman"/>
                <w:sz w:val="20"/>
                <w:szCs w:val="20"/>
              </w:rPr>
              <w:t xml:space="preserve">обоснование </w:t>
            </w:r>
            <w:r w:rsidRPr="003D2161">
              <w:rPr>
                <w:rFonts w:ascii="Times New Roman" w:hAnsi="Times New Roman" w:cs="Times New Roman"/>
                <w:sz w:val="20"/>
                <w:szCs w:val="20"/>
              </w:rPr>
              <w:t xml:space="preserve">причин изменений </w:t>
            </w:r>
            <w:r>
              <w:rPr>
                <w:rFonts w:ascii="Times New Roman" w:hAnsi="Times New Roman" w:cs="Times New Roman"/>
                <w:sz w:val="20"/>
                <w:szCs w:val="20"/>
              </w:rPr>
              <w:t xml:space="preserve">производилось </w:t>
            </w:r>
            <w:r w:rsidRPr="003D2161">
              <w:rPr>
                <w:rFonts w:ascii="Times New Roman" w:hAnsi="Times New Roman" w:cs="Times New Roman"/>
                <w:sz w:val="20"/>
                <w:szCs w:val="20"/>
              </w:rPr>
              <w:t>с учетом оценки их влияния на целевые показатели соответствующей государственной программы автономного округа, результаты реализации региональных проектов, обеспечивающих достижение целей, показателей и результатов федеральных проектов</w:t>
            </w:r>
          </w:p>
        </w:tc>
      </w:tr>
    </w:tbl>
    <w:p w:rsidR="00C6080D" w:rsidRDefault="00C6080D"/>
    <w:p w:rsidR="00C6080D" w:rsidRDefault="00C6080D"/>
    <w:tbl>
      <w:tblPr>
        <w:tblStyle w:val="a3"/>
        <w:tblW w:w="0" w:type="auto"/>
        <w:tblLook w:val="04A0" w:firstRow="1" w:lastRow="0" w:firstColumn="1" w:lastColumn="0" w:noHBand="0" w:noVBand="1"/>
      </w:tblPr>
      <w:tblGrid>
        <w:gridCol w:w="1472"/>
        <w:gridCol w:w="7053"/>
        <w:gridCol w:w="6601"/>
      </w:tblGrid>
      <w:tr w:rsidR="00C5685C" w:rsidTr="00C5685C">
        <w:trPr>
          <w:cantSplit/>
        </w:trPr>
        <w:tc>
          <w:tcPr>
            <w:tcW w:w="1485" w:type="dxa"/>
            <w:tcBorders>
              <w:bottom w:val="nil"/>
            </w:tcBorders>
          </w:tcPr>
          <w:p w:rsidR="00C5685C" w:rsidRPr="001D0F88" w:rsidRDefault="00C5685C" w:rsidP="0012029A">
            <w:pPr>
              <w:jc w:val="center"/>
              <w:rPr>
                <w:rFonts w:ascii="Times New Roman" w:hAnsi="Times New Roman" w:cs="Times New Roman"/>
                <w:sz w:val="20"/>
                <w:szCs w:val="20"/>
              </w:rPr>
            </w:pPr>
          </w:p>
        </w:tc>
        <w:tc>
          <w:tcPr>
            <w:tcW w:w="7128" w:type="dxa"/>
            <w:vMerge w:val="restart"/>
          </w:tcPr>
          <w:p w:rsidR="00C5685C" w:rsidRDefault="00C5685C" w:rsidP="0012029A">
            <w:pPr>
              <w:autoSpaceDE w:val="0"/>
              <w:autoSpaceDN w:val="0"/>
              <w:adjustRightInd w:val="0"/>
              <w:contextualSpacing/>
              <w:jc w:val="both"/>
              <w:rPr>
                <w:rFonts w:ascii="Times New Roman" w:hAnsi="Times New Roman" w:cs="Times New Roman"/>
                <w:sz w:val="20"/>
                <w:szCs w:val="20"/>
              </w:rPr>
            </w:pPr>
            <w:r>
              <w:rPr>
                <w:rFonts w:ascii="Times New Roman" w:hAnsi="Times New Roman" w:cs="Times New Roman"/>
                <w:sz w:val="20"/>
                <w:szCs w:val="20"/>
              </w:rPr>
              <w:t xml:space="preserve">д) </w:t>
            </w:r>
            <w:r w:rsidRPr="00210CD8">
              <w:rPr>
                <w:rFonts w:ascii="Times New Roman" w:hAnsi="Times New Roman" w:cs="Times New Roman"/>
                <w:sz w:val="20"/>
                <w:szCs w:val="20"/>
              </w:rPr>
              <w:t>продолжение работы по повышению качества и доступности оказываемых государственных услуг, обеспечению доступа к бюджетным средствам, предусмотренным на оказание социальных услуг, негосударственным организациям (коммерческим, некоммерческим) посредством реализации соответствующих мероприятий государственных программ автономного округа;</w:t>
            </w:r>
          </w:p>
        </w:tc>
        <w:tc>
          <w:tcPr>
            <w:tcW w:w="6663" w:type="dxa"/>
            <w:tcBorders>
              <w:bottom w:val="nil"/>
            </w:tcBorders>
          </w:tcPr>
          <w:p w:rsidR="00C5685C" w:rsidRDefault="00C5685C" w:rsidP="00233229">
            <w:pPr>
              <w:ind w:firstLine="459"/>
              <w:jc w:val="both"/>
              <w:rPr>
                <w:rFonts w:ascii="Times New Roman" w:hAnsi="Times New Roman" w:cs="Times New Roman"/>
                <w:sz w:val="20"/>
                <w:szCs w:val="20"/>
              </w:rPr>
            </w:pPr>
            <w:r>
              <w:rPr>
                <w:rFonts w:ascii="Times New Roman" w:hAnsi="Times New Roman" w:cs="Times New Roman"/>
                <w:sz w:val="20"/>
                <w:szCs w:val="20"/>
              </w:rPr>
              <w:t>о</w:t>
            </w:r>
            <w:r w:rsidRPr="002F5833">
              <w:rPr>
                <w:rFonts w:ascii="Times New Roman" w:hAnsi="Times New Roman" w:cs="Times New Roman"/>
                <w:sz w:val="20"/>
                <w:szCs w:val="20"/>
              </w:rPr>
              <w:t>бъём бюджетных средств, направленный негосударственным поставщикам социальных услуг в 2020 году, составил 979,1 млн.</w:t>
            </w:r>
            <w:r>
              <w:rPr>
                <w:rFonts w:ascii="Times New Roman" w:hAnsi="Times New Roman" w:cs="Times New Roman"/>
                <w:sz w:val="20"/>
                <w:szCs w:val="20"/>
              </w:rPr>
              <w:t xml:space="preserve"> </w:t>
            </w:r>
            <w:r w:rsidRPr="002F5833">
              <w:rPr>
                <w:rFonts w:ascii="Times New Roman" w:hAnsi="Times New Roman" w:cs="Times New Roman"/>
                <w:sz w:val="20"/>
                <w:szCs w:val="20"/>
              </w:rPr>
              <w:t>рублей, что на 5,6% больше 2019 года, в том числе социально ориентированным некоммерческим организациям направлено 547,0 млн.</w:t>
            </w:r>
            <w:r>
              <w:rPr>
                <w:rFonts w:ascii="Times New Roman" w:hAnsi="Times New Roman" w:cs="Times New Roman"/>
                <w:sz w:val="20"/>
                <w:szCs w:val="20"/>
              </w:rPr>
              <w:t xml:space="preserve"> рублей, что почти в два раза</w:t>
            </w:r>
            <w:r w:rsidRPr="002F5833">
              <w:rPr>
                <w:rFonts w:ascii="Times New Roman" w:hAnsi="Times New Roman" w:cs="Times New Roman"/>
                <w:sz w:val="20"/>
                <w:szCs w:val="20"/>
              </w:rPr>
              <w:t xml:space="preserve"> выше уровня 2019 года. Такой рост обусловлен увеличением количества </w:t>
            </w:r>
            <w:proofErr w:type="gramStart"/>
            <w:r w:rsidRPr="002F5833">
              <w:rPr>
                <w:rFonts w:ascii="Times New Roman" w:hAnsi="Times New Roman" w:cs="Times New Roman"/>
                <w:sz w:val="20"/>
                <w:szCs w:val="20"/>
              </w:rPr>
              <w:t>мероприятий</w:t>
            </w:r>
            <w:proofErr w:type="gramEnd"/>
            <w:r w:rsidRPr="002F5833">
              <w:rPr>
                <w:rFonts w:ascii="Times New Roman" w:hAnsi="Times New Roman" w:cs="Times New Roman"/>
                <w:sz w:val="20"/>
                <w:szCs w:val="20"/>
              </w:rPr>
              <w:t xml:space="preserve"> проводимых в режиме онлайн в сфере культуры и услуг оказываемых негосударственными поставщиками в сфере социального обслуживанию населения.</w:t>
            </w:r>
          </w:p>
        </w:tc>
      </w:tr>
      <w:tr w:rsidR="00C5685C" w:rsidTr="00C6080D">
        <w:trPr>
          <w:cantSplit/>
        </w:trPr>
        <w:tc>
          <w:tcPr>
            <w:tcW w:w="1485" w:type="dxa"/>
            <w:tcBorders>
              <w:top w:val="nil"/>
              <w:bottom w:val="single" w:sz="4" w:space="0" w:color="auto"/>
            </w:tcBorders>
          </w:tcPr>
          <w:p w:rsidR="00C5685C" w:rsidRPr="00650F27" w:rsidRDefault="00C5685C" w:rsidP="0012029A">
            <w:pPr>
              <w:jc w:val="center"/>
              <w:rPr>
                <w:rFonts w:ascii="Times New Roman" w:hAnsi="Times New Roman" w:cs="Times New Roman"/>
                <w:sz w:val="20"/>
                <w:szCs w:val="20"/>
              </w:rPr>
            </w:pPr>
          </w:p>
        </w:tc>
        <w:tc>
          <w:tcPr>
            <w:tcW w:w="7128" w:type="dxa"/>
            <w:vMerge/>
          </w:tcPr>
          <w:p w:rsidR="00C5685C" w:rsidRPr="00230DE4" w:rsidRDefault="00C5685C" w:rsidP="0012029A">
            <w:pPr>
              <w:autoSpaceDE w:val="0"/>
              <w:autoSpaceDN w:val="0"/>
              <w:adjustRightInd w:val="0"/>
              <w:jc w:val="both"/>
              <w:rPr>
                <w:rFonts w:ascii="Times New Roman" w:hAnsi="Times New Roman" w:cs="Times New Roman"/>
                <w:sz w:val="20"/>
                <w:szCs w:val="20"/>
              </w:rPr>
            </w:pPr>
          </w:p>
        </w:tc>
        <w:tc>
          <w:tcPr>
            <w:tcW w:w="6663" w:type="dxa"/>
            <w:tcBorders>
              <w:top w:val="nil"/>
            </w:tcBorders>
          </w:tcPr>
          <w:p w:rsidR="00C5685C" w:rsidRPr="002F5833" w:rsidRDefault="00C5685C" w:rsidP="000F3630">
            <w:pPr>
              <w:ind w:firstLine="459"/>
              <w:jc w:val="both"/>
              <w:rPr>
                <w:rFonts w:ascii="Times New Roman" w:hAnsi="Times New Roman" w:cs="Times New Roman"/>
                <w:sz w:val="20"/>
                <w:szCs w:val="20"/>
              </w:rPr>
            </w:pPr>
            <w:r>
              <w:rPr>
                <w:rFonts w:ascii="Times New Roman" w:hAnsi="Times New Roman" w:cs="Times New Roman"/>
                <w:sz w:val="20"/>
                <w:szCs w:val="20"/>
              </w:rPr>
              <w:t xml:space="preserve">В административные регламенты предоставления государственных услуг, оказываемых Департаментом гражданской защиты населения автономного округа, внесены изменения в части обеспечения </w:t>
            </w:r>
            <w:r w:rsidRPr="003D70F0">
              <w:rPr>
                <w:rFonts w:ascii="Times New Roman" w:hAnsi="Times New Roman" w:cs="Times New Roman"/>
                <w:sz w:val="20"/>
                <w:szCs w:val="20"/>
              </w:rPr>
              <w:t>экстерриториальности при организации предоставления государственных услуг (принятие заявлений на оказание услуги и выдача результатов посредством электронной почты). Для наиболее востребованной государственной услуги «Выдача исходных данных (технических условий) для разработки мероприятий по гражданской обороне, мероприятий по предупреждению чрезвычайных ситуаций природного и техногенного характера в составе проектной документации объекта капитального строительства» с 2020 года</w:t>
            </w:r>
            <w:r w:rsidRPr="003D70F0">
              <w:rPr>
                <w:rFonts w:ascii="Times New Roman" w:hAnsi="Times New Roman" w:cs="Times New Roman"/>
                <w:b/>
                <w:sz w:val="20"/>
                <w:szCs w:val="20"/>
              </w:rPr>
              <w:t xml:space="preserve"> </w:t>
            </w:r>
            <w:r w:rsidRPr="003D70F0">
              <w:rPr>
                <w:rFonts w:ascii="Times New Roman" w:hAnsi="Times New Roman" w:cs="Times New Roman"/>
                <w:sz w:val="20"/>
                <w:szCs w:val="20"/>
              </w:rPr>
              <w:t>добавлена возможность для ее получения через многофункциональные центры.</w:t>
            </w:r>
          </w:p>
          <w:p w:rsidR="00C5685C" w:rsidRPr="001D0F88" w:rsidRDefault="00C5685C" w:rsidP="00C5685C">
            <w:pPr>
              <w:ind w:firstLine="459"/>
              <w:jc w:val="both"/>
              <w:rPr>
                <w:rFonts w:ascii="Times New Roman" w:hAnsi="Times New Roman" w:cs="Times New Roman"/>
                <w:sz w:val="20"/>
                <w:szCs w:val="20"/>
              </w:rPr>
            </w:pPr>
            <w:r w:rsidRPr="002F5833">
              <w:rPr>
                <w:rFonts w:ascii="Times New Roman" w:hAnsi="Times New Roman" w:cs="Times New Roman"/>
                <w:sz w:val="20"/>
                <w:szCs w:val="20"/>
              </w:rPr>
              <w:t>Перечень социальных услуг, переданных для исполнения социально ориентированным некоммерческим организациям, дополнен услугой в сфере образования «Методическое обеспечение образовательной деятельности» и социального обслуживания населения по повышению финансовой грамотности населения.</w:t>
            </w:r>
          </w:p>
        </w:tc>
      </w:tr>
      <w:tr w:rsidR="00406E3A" w:rsidTr="00C6080D">
        <w:trPr>
          <w:cantSplit/>
        </w:trPr>
        <w:tc>
          <w:tcPr>
            <w:tcW w:w="1485" w:type="dxa"/>
            <w:tcBorders>
              <w:top w:val="single" w:sz="4" w:space="0" w:color="auto"/>
              <w:bottom w:val="single" w:sz="4" w:space="0" w:color="auto"/>
            </w:tcBorders>
          </w:tcPr>
          <w:p w:rsidR="00406E3A" w:rsidRPr="001D0F88" w:rsidRDefault="00406E3A" w:rsidP="0012029A">
            <w:pPr>
              <w:jc w:val="center"/>
              <w:rPr>
                <w:rFonts w:ascii="Times New Roman" w:hAnsi="Times New Roman" w:cs="Times New Roman"/>
                <w:sz w:val="20"/>
                <w:szCs w:val="20"/>
              </w:rPr>
            </w:pPr>
          </w:p>
        </w:tc>
        <w:tc>
          <w:tcPr>
            <w:tcW w:w="7128" w:type="dxa"/>
          </w:tcPr>
          <w:p w:rsidR="00406E3A" w:rsidRPr="00230DE4" w:rsidRDefault="00406E3A" w:rsidP="00DB7D7B">
            <w:pPr>
              <w:pStyle w:val="ConsPlusNormal"/>
              <w:jc w:val="both"/>
            </w:pPr>
            <w:r>
              <w:t xml:space="preserve">е) </w:t>
            </w:r>
            <w:r w:rsidR="00210CD8">
              <w:t>осуществление контроля за исполнением государственных заданий, за соблюдением условий, целей и порядков предоставления субсидий юридическим лицам, в том числе некоммерческим организациям, крестьянским (фермерским) хозяйствам, индивидуальным предпринимателям;</w:t>
            </w:r>
          </w:p>
        </w:tc>
        <w:tc>
          <w:tcPr>
            <w:tcW w:w="6663" w:type="dxa"/>
          </w:tcPr>
          <w:p w:rsidR="002430B4" w:rsidRPr="002430B4" w:rsidRDefault="002430B4" w:rsidP="002430B4">
            <w:pPr>
              <w:ind w:firstLine="459"/>
              <w:jc w:val="both"/>
              <w:rPr>
                <w:rFonts w:ascii="Times New Roman" w:hAnsi="Times New Roman" w:cs="Times New Roman"/>
                <w:sz w:val="20"/>
                <w:szCs w:val="20"/>
              </w:rPr>
            </w:pPr>
            <w:r w:rsidRPr="002430B4">
              <w:rPr>
                <w:rFonts w:ascii="Times New Roman" w:hAnsi="Times New Roman" w:cs="Times New Roman"/>
                <w:sz w:val="20"/>
                <w:szCs w:val="20"/>
              </w:rPr>
              <w:t xml:space="preserve">исполнительные органы государственной власти автономного округа осуществляли мониторинг (оценку эффективности и результативности) выполнения государственных заданий в соответствии с методикой, утвержденной приказом Департамента финансов автономного округа от 31 марта 2010 года № 7-нп. Результаты ежегодного мониторинга размещены на официальных сайтах исполнительных органов государственной власти автономного округа. </w:t>
            </w:r>
          </w:p>
          <w:p w:rsidR="002430B4" w:rsidRPr="002430B4" w:rsidRDefault="002430B4" w:rsidP="002430B4">
            <w:pPr>
              <w:ind w:firstLine="459"/>
              <w:jc w:val="both"/>
              <w:rPr>
                <w:rFonts w:ascii="Times New Roman" w:hAnsi="Times New Roman" w:cs="Times New Roman"/>
                <w:sz w:val="20"/>
                <w:szCs w:val="20"/>
              </w:rPr>
            </w:pPr>
            <w:r>
              <w:rPr>
                <w:rFonts w:ascii="Times New Roman" w:hAnsi="Times New Roman" w:cs="Times New Roman"/>
                <w:sz w:val="20"/>
                <w:szCs w:val="20"/>
              </w:rPr>
              <w:t>По итогам 2020 года из 19</w:t>
            </w:r>
            <w:r w:rsidRPr="002430B4">
              <w:rPr>
                <w:rFonts w:ascii="Times New Roman" w:hAnsi="Times New Roman" w:cs="Times New Roman"/>
                <w:sz w:val="20"/>
                <w:szCs w:val="20"/>
              </w:rPr>
              <w:t>7, установленных госуд</w:t>
            </w:r>
            <w:r>
              <w:rPr>
                <w:rFonts w:ascii="Times New Roman" w:hAnsi="Times New Roman" w:cs="Times New Roman"/>
                <w:sz w:val="20"/>
                <w:szCs w:val="20"/>
              </w:rPr>
              <w:t>арственных заданий, выполнены 18</w:t>
            </w:r>
            <w:r w:rsidRPr="002430B4">
              <w:rPr>
                <w:rFonts w:ascii="Times New Roman" w:hAnsi="Times New Roman" w:cs="Times New Roman"/>
                <w:sz w:val="20"/>
                <w:szCs w:val="20"/>
              </w:rPr>
              <w:t>9.</w:t>
            </w:r>
          </w:p>
          <w:p w:rsidR="002430B4" w:rsidRPr="002430B4" w:rsidRDefault="002430B4" w:rsidP="002430B4">
            <w:pPr>
              <w:ind w:firstLine="459"/>
              <w:jc w:val="both"/>
              <w:rPr>
                <w:rFonts w:ascii="Times New Roman" w:hAnsi="Times New Roman" w:cs="Times New Roman"/>
                <w:sz w:val="20"/>
                <w:szCs w:val="20"/>
              </w:rPr>
            </w:pPr>
            <w:r w:rsidRPr="002430B4">
              <w:rPr>
                <w:rFonts w:ascii="Times New Roman" w:hAnsi="Times New Roman" w:cs="Times New Roman"/>
                <w:sz w:val="20"/>
                <w:szCs w:val="20"/>
              </w:rPr>
              <w:t>Главными распорядителями бюджетных средств осуществлялся контроль за своевременным размещением подведомственными учреждениями государственных заданий в информационно-телекоммуникационной сети «Интернет» на официальном сайте www.bus.gov.ru,</w:t>
            </w:r>
            <w:r w:rsidR="0037661A">
              <w:rPr>
                <w:rFonts w:ascii="Times New Roman" w:hAnsi="Times New Roman" w:cs="Times New Roman"/>
                <w:sz w:val="20"/>
                <w:szCs w:val="20"/>
              </w:rPr>
              <w:t xml:space="preserve"> по итогам которого выявлено не</w:t>
            </w:r>
            <w:r w:rsidRPr="002430B4">
              <w:rPr>
                <w:rFonts w:ascii="Times New Roman" w:hAnsi="Times New Roman" w:cs="Times New Roman"/>
                <w:sz w:val="20"/>
                <w:szCs w:val="20"/>
              </w:rPr>
              <w:t>своевременное размещение государственного задания в сети «Интернет» учреждениями, подведомственными:</w:t>
            </w:r>
          </w:p>
          <w:p w:rsidR="002430B4" w:rsidRPr="002430B4" w:rsidRDefault="002430B4" w:rsidP="002430B4">
            <w:pPr>
              <w:ind w:firstLine="459"/>
              <w:jc w:val="both"/>
              <w:rPr>
                <w:rFonts w:ascii="Times New Roman" w:hAnsi="Times New Roman" w:cs="Times New Roman"/>
                <w:sz w:val="20"/>
                <w:szCs w:val="20"/>
              </w:rPr>
            </w:pPr>
            <w:r w:rsidRPr="002430B4">
              <w:rPr>
                <w:rFonts w:ascii="Times New Roman" w:hAnsi="Times New Roman" w:cs="Times New Roman"/>
                <w:sz w:val="20"/>
                <w:szCs w:val="20"/>
              </w:rPr>
              <w:t>1. Департаменту социального развития автономного округа –7 ед.;</w:t>
            </w:r>
          </w:p>
          <w:p w:rsidR="002430B4" w:rsidRPr="002430B4" w:rsidRDefault="002430B4" w:rsidP="002430B4">
            <w:pPr>
              <w:ind w:firstLine="459"/>
              <w:jc w:val="both"/>
              <w:rPr>
                <w:rFonts w:ascii="Times New Roman" w:hAnsi="Times New Roman" w:cs="Times New Roman"/>
                <w:sz w:val="20"/>
                <w:szCs w:val="20"/>
              </w:rPr>
            </w:pPr>
            <w:r w:rsidRPr="002430B4">
              <w:rPr>
                <w:rFonts w:ascii="Times New Roman" w:hAnsi="Times New Roman" w:cs="Times New Roman"/>
                <w:sz w:val="20"/>
                <w:szCs w:val="20"/>
              </w:rPr>
              <w:t>2. Департаменту общественных и внешних связей – 1 ед.;</w:t>
            </w:r>
          </w:p>
          <w:p w:rsidR="002430B4" w:rsidRPr="002430B4" w:rsidRDefault="002430B4" w:rsidP="002430B4">
            <w:pPr>
              <w:ind w:firstLine="459"/>
              <w:jc w:val="both"/>
              <w:rPr>
                <w:rFonts w:ascii="Times New Roman" w:hAnsi="Times New Roman" w:cs="Times New Roman"/>
                <w:sz w:val="20"/>
                <w:szCs w:val="20"/>
              </w:rPr>
            </w:pPr>
            <w:r w:rsidRPr="002430B4">
              <w:rPr>
                <w:rFonts w:ascii="Times New Roman" w:hAnsi="Times New Roman" w:cs="Times New Roman"/>
                <w:sz w:val="20"/>
                <w:szCs w:val="20"/>
              </w:rPr>
              <w:t>3. Департаменту образования и молодежной политики автономного округа – 3 ед.;</w:t>
            </w:r>
          </w:p>
          <w:p w:rsidR="002430B4" w:rsidRPr="002430B4" w:rsidRDefault="002430B4" w:rsidP="002430B4">
            <w:pPr>
              <w:ind w:firstLine="459"/>
              <w:jc w:val="both"/>
              <w:rPr>
                <w:rFonts w:ascii="Times New Roman" w:hAnsi="Times New Roman" w:cs="Times New Roman"/>
                <w:sz w:val="20"/>
                <w:szCs w:val="20"/>
              </w:rPr>
            </w:pPr>
            <w:r w:rsidRPr="002430B4">
              <w:rPr>
                <w:rFonts w:ascii="Times New Roman" w:hAnsi="Times New Roman" w:cs="Times New Roman"/>
                <w:sz w:val="20"/>
                <w:szCs w:val="20"/>
              </w:rPr>
              <w:t>4. Департаменту культуры автономного округа – 5 ед.</w:t>
            </w:r>
          </w:p>
          <w:p w:rsidR="00406E3A" w:rsidRDefault="002430B4" w:rsidP="002430B4">
            <w:pPr>
              <w:ind w:firstLine="459"/>
              <w:jc w:val="both"/>
              <w:rPr>
                <w:rFonts w:ascii="Times New Roman" w:hAnsi="Times New Roman" w:cs="Times New Roman"/>
                <w:sz w:val="20"/>
                <w:szCs w:val="20"/>
              </w:rPr>
            </w:pPr>
            <w:r w:rsidRPr="002430B4">
              <w:rPr>
                <w:rFonts w:ascii="Times New Roman" w:hAnsi="Times New Roman" w:cs="Times New Roman"/>
                <w:sz w:val="20"/>
                <w:szCs w:val="20"/>
              </w:rPr>
              <w:t>Данные ГРБС получили минимальную оценку – 0 баллов по показателю «Полнота и своевременность опубликования информации государственными учреждениями на официальном сайте для размещения информации о государственных (муниципальных) учреждениях (www.bus.gov.ru) за отчетный период» мониторинга качества финансового менеджмента.</w:t>
            </w:r>
          </w:p>
          <w:p w:rsidR="007B6FC7" w:rsidRPr="001D0F88" w:rsidRDefault="007B6FC7" w:rsidP="00A219C1">
            <w:pPr>
              <w:ind w:firstLine="459"/>
              <w:jc w:val="both"/>
              <w:rPr>
                <w:rFonts w:ascii="Times New Roman" w:hAnsi="Times New Roman" w:cs="Times New Roman"/>
                <w:sz w:val="20"/>
                <w:szCs w:val="20"/>
              </w:rPr>
            </w:pPr>
            <w:bookmarkStart w:id="0" w:name="_GoBack"/>
            <w:bookmarkEnd w:id="0"/>
          </w:p>
        </w:tc>
      </w:tr>
      <w:tr w:rsidR="00406E3A" w:rsidTr="00C6080D">
        <w:trPr>
          <w:cantSplit/>
        </w:trPr>
        <w:tc>
          <w:tcPr>
            <w:tcW w:w="1485" w:type="dxa"/>
            <w:tcBorders>
              <w:top w:val="single" w:sz="4" w:space="0" w:color="auto"/>
              <w:bottom w:val="nil"/>
            </w:tcBorders>
          </w:tcPr>
          <w:p w:rsidR="00406E3A" w:rsidRPr="001D0F88" w:rsidRDefault="00406E3A" w:rsidP="0012029A">
            <w:pPr>
              <w:jc w:val="center"/>
              <w:rPr>
                <w:rFonts w:ascii="Times New Roman" w:hAnsi="Times New Roman" w:cs="Times New Roman"/>
                <w:sz w:val="20"/>
                <w:szCs w:val="20"/>
              </w:rPr>
            </w:pPr>
          </w:p>
        </w:tc>
        <w:tc>
          <w:tcPr>
            <w:tcW w:w="7128" w:type="dxa"/>
          </w:tcPr>
          <w:p w:rsidR="00406E3A" w:rsidRPr="00230DE4" w:rsidRDefault="00406E3A" w:rsidP="0012029A">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ж) </w:t>
            </w:r>
            <w:r w:rsidR="00210CD8" w:rsidRPr="00210CD8">
              <w:rPr>
                <w:rFonts w:ascii="Times New Roman" w:hAnsi="Times New Roman" w:cs="Times New Roman"/>
                <w:sz w:val="20"/>
                <w:szCs w:val="20"/>
              </w:rPr>
              <w:t>эффективное использование межбюджетных трансфертов, полученных в форме субсидий, субвенций и иных межбюджетных трансфертов из федерального бюджета;</w:t>
            </w:r>
          </w:p>
        </w:tc>
        <w:tc>
          <w:tcPr>
            <w:tcW w:w="6663" w:type="dxa"/>
          </w:tcPr>
          <w:p w:rsidR="007B6FC7" w:rsidRPr="0003295C" w:rsidRDefault="007B6FC7" w:rsidP="0026534E">
            <w:pPr>
              <w:autoSpaceDE w:val="0"/>
              <w:autoSpaceDN w:val="0"/>
              <w:adjustRightInd w:val="0"/>
              <w:ind w:firstLine="459"/>
              <w:jc w:val="both"/>
              <w:rPr>
                <w:rFonts w:ascii="Times New Roman" w:eastAsia="Calibri" w:hAnsi="Times New Roman" w:cs="Times New Roman"/>
                <w:sz w:val="20"/>
                <w:szCs w:val="20"/>
              </w:rPr>
            </w:pPr>
            <w:r w:rsidRPr="0003295C">
              <w:rPr>
                <w:rFonts w:ascii="Times New Roman" w:eastAsia="Calibri" w:hAnsi="Times New Roman" w:cs="Times New Roman"/>
                <w:sz w:val="20"/>
                <w:szCs w:val="20"/>
              </w:rPr>
              <w:t xml:space="preserve">в 2020 году из федерального бюджета поступило межбюджетных трансфертов в форме субсидий, субвенций и иных межбюджетных трансфертов в сумме </w:t>
            </w:r>
            <w:r w:rsidR="0003295C" w:rsidRPr="0003295C">
              <w:rPr>
                <w:rFonts w:ascii="Times New Roman" w:eastAsia="Calibri" w:hAnsi="Times New Roman" w:cs="Times New Roman"/>
                <w:sz w:val="20"/>
                <w:szCs w:val="20"/>
              </w:rPr>
              <w:t>17</w:t>
            </w:r>
            <w:r w:rsidRPr="0003295C">
              <w:rPr>
                <w:rFonts w:ascii="Times New Roman" w:eastAsia="Calibri" w:hAnsi="Times New Roman" w:cs="Times New Roman"/>
                <w:sz w:val="20"/>
                <w:szCs w:val="20"/>
              </w:rPr>
              <w:t xml:space="preserve"> </w:t>
            </w:r>
            <w:r w:rsidR="0003295C" w:rsidRPr="0003295C">
              <w:rPr>
                <w:rFonts w:ascii="Times New Roman" w:eastAsia="Calibri" w:hAnsi="Times New Roman" w:cs="Times New Roman"/>
                <w:sz w:val="20"/>
                <w:szCs w:val="20"/>
              </w:rPr>
              <w:t>605</w:t>
            </w:r>
            <w:r w:rsidRPr="0003295C">
              <w:rPr>
                <w:rFonts w:ascii="Times New Roman" w:eastAsia="Calibri" w:hAnsi="Times New Roman" w:cs="Times New Roman"/>
                <w:sz w:val="20"/>
                <w:szCs w:val="20"/>
              </w:rPr>
              <w:t>,</w:t>
            </w:r>
            <w:r w:rsidR="0003295C" w:rsidRPr="0003295C">
              <w:rPr>
                <w:rFonts w:ascii="Times New Roman" w:eastAsia="Calibri" w:hAnsi="Times New Roman" w:cs="Times New Roman"/>
                <w:sz w:val="20"/>
                <w:szCs w:val="20"/>
              </w:rPr>
              <w:t>8</w:t>
            </w:r>
            <w:r w:rsidRPr="0003295C">
              <w:rPr>
                <w:rFonts w:ascii="Times New Roman" w:eastAsia="Calibri" w:hAnsi="Times New Roman" w:cs="Times New Roman"/>
                <w:sz w:val="20"/>
                <w:szCs w:val="20"/>
              </w:rPr>
              <w:t xml:space="preserve"> млн рублей, в том числе субсидий – </w:t>
            </w:r>
            <w:r w:rsidR="0003295C" w:rsidRPr="0003295C">
              <w:rPr>
                <w:rFonts w:ascii="Times New Roman" w:eastAsia="Calibri" w:hAnsi="Times New Roman" w:cs="Times New Roman"/>
                <w:sz w:val="20"/>
                <w:szCs w:val="20"/>
              </w:rPr>
              <w:t>3 169,0</w:t>
            </w:r>
            <w:r w:rsidRPr="0003295C">
              <w:rPr>
                <w:rFonts w:ascii="Times New Roman" w:eastAsia="Calibri" w:hAnsi="Times New Roman" w:cs="Times New Roman"/>
                <w:sz w:val="20"/>
                <w:szCs w:val="20"/>
              </w:rPr>
              <w:t xml:space="preserve"> млн. рублей, субвенций – </w:t>
            </w:r>
            <w:r w:rsidR="0003295C" w:rsidRPr="0003295C">
              <w:rPr>
                <w:rFonts w:ascii="Times New Roman" w:eastAsia="Calibri" w:hAnsi="Times New Roman" w:cs="Times New Roman"/>
                <w:sz w:val="20"/>
                <w:szCs w:val="20"/>
              </w:rPr>
              <w:t>7 068,8</w:t>
            </w:r>
            <w:r w:rsidRPr="0003295C">
              <w:rPr>
                <w:rFonts w:ascii="Times New Roman" w:eastAsia="Calibri" w:hAnsi="Times New Roman" w:cs="Times New Roman"/>
                <w:sz w:val="20"/>
                <w:szCs w:val="20"/>
              </w:rPr>
              <w:t xml:space="preserve"> млн рублей, иных межбюджетных трансфертов – </w:t>
            </w:r>
            <w:r w:rsidR="0003295C" w:rsidRPr="0003295C">
              <w:rPr>
                <w:rFonts w:ascii="Times New Roman" w:eastAsia="Calibri" w:hAnsi="Times New Roman" w:cs="Times New Roman"/>
                <w:sz w:val="20"/>
                <w:szCs w:val="20"/>
              </w:rPr>
              <w:t>7 368,0</w:t>
            </w:r>
            <w:r w:rsidRPr="0003295C">
              <w:rPr>
                <w:rFonts w:ascii="Times New Roman" w:eastAsia="Calibri" w:hAnsi="Times New Roman" w:cs="Times New Roman"/>
                <w:sz w:val="20"/>
                <w:szCs w:val="20"/>
              </w:rPr>
              <w:t xml:space="preserve"> млн. рублей. </w:t>
            </w:r>
          </w:p>
          <w:p w:rsidR="007B6FC7" w:rsidRPr="005C62B6" w:rsidRDefault="007B6FC7" w:rsidP="0026534E">
            <w:pPr>
              <w:autoSpaceDE w:val="0"/>
              <w:autoSpaceDN w:val="0"/>
              <w:adjustRightInd w:val="0"/>
              <w:ind w:firstLine="459"/>
              <w:jc w:val="both"/>
              <w:rPr>
                <w:rFonts w:ascii="Times New Roman" w:eastAsia="Calibri" w:hAnsi="Times New Roman" w:cs="Times New Roman"/>
                <w:sz w:val="20"/>
                <w:szCs w:val="20"/>
              </w:rPr>
            </w:pPr>
            <w:r w:rsidRPr="005C62B6">
              <w:rPr>
                <w:rFonts w:ascii="Times New Roman" w:eastAsia="Calibri" w:hAnsi="Times New Roman" w:cs="Times New Roman"/>
                <w:sz w:val="20"/>
                <w:szCs w:val="20"/>
              </w:rPr>
              <w:t xml:space="preserve">Исполнение расходов за счет поступивших межбюджетных трансфертов из федерального бюджета составило </w:t>
            </w:r>
            <w:r w:rsidR="0003295C" w:rsidRPr="005C62B6">
              <w:rPr>
                <w:rFonts w:ascii="Times New Roman" w:eastAsia="Calibri" w:hAnsi="Times New Roman" w:cs="Times New Roman"/>
                <w:sz w:val="20"/>
                <w:szCs w:val="20"/>
              </w:rPr>
              <w:t>17</w:t>
            </w:r>
            <w:r w:rsidRPr="005C62B6">
              <w:rPr>
                <w:rFonts w:ascii="Times New Roman" w:eastAsia="Calibri" w:hAnsi="Times New Roman" w:cs="Times New Roman"/>
                <w:sz w:val="20"/>
                <w:szCs w:val="20"/>
              </w:rPr>
              <w:t xml:space="preserve"> </w:t>
            </w:r>
            <w:r w:rsidR="0003295C" w:rsidRPr="005C62B6">
              <w:rPr>
                <w:rFonts w:ascii="Times New Roman" w:eastAsia="Calibri" w:hAnsi="Times New Roman" w:cs="Times New Roman"/>
                <w:sz w:val="20"/>
                <w:szCs w:val="20"/>
              </w:rPr>
              <w:t>605</w:t>
            </w:r>
            <w:r w:rsidRPr="005C62B6">
              <w:rPr>
                <w:rFonts w:ascii="Times New Roman" w:eastAsia="Calibri" w:hAnsi="Times New Roman" w:cs="Times New Roman"/>
                <w:sz w:val="20"/>
                <w:szCs w:val="20"/>
              </w:rPr>
              <w:t>,</w:t>
            </w:r>
            <w:r w:rsidR="0003295C" w:rsidRPr="005C62B6">
              <w:rPr>
                <w:rFonts w:ascii="Times New Roman" w:eastAsia="Calibri" w:hAnsi="Times New Roman" w:cs="Times New Roman"/>
                <w:sz w:val="20"/>
                <w:szCs w:val="20"/>
              </w:rPr>
              <w:t>1</w:t>
            </w:r>
            <w:r w:rsidRPr="005C62B6">
              <w:rPr>
                <w:rFonts w:ascii="Times New Roman" w:eastAsia="Calibri" w:hAnsi="Times New Roman" w:cs="Times New Roman"/>
                <w:sz w:val="20"/>
                <w:szCs w:val="20"/>
              </w:rPr>
              <w:t xml:space="preserve"> млн рублей, из них за счет субсидий – </w:t>
            </w:r>
            <w:r w:rsidR="0003295C" w:rsidRPr="005C62B6">
              <w:rPr>
                <w:rFonts w:ascii="Times New Roman" w:eastAsia="Calibri" w:hAnsi="Times New Roman" w:cs="Times New Roman"/>
                <w:sz w:val="20"/>
                <w:szCs w:val="20"/>
              </w:rPr>
              <w:t>3</w:t>
            </w:r>
            <w:r w:rsidRPr="005C62B6">
              <w:rPr>
                <w:rFonts w:ascii="Times New Roman" w:eastAsia="Calibri" w:hAnsi="Times New Roman" w:cs="Times New Roman"/>
                <w:sz w:val="20"/>
                <w:szCs w:val="20"/>
              </w:rPr>
              <w:t xml:space="preserve"> </w:t>
            </w:r>
            <w:r w:rsidR="0003295C" w:rsidRPr="005C62B6">
              <w:rPr>
                <w:rFonts w:ascii="Times New Roman" w:eastAsia="Calibri" w:hAnsi="Times New Roman" w:cs="Times New Roman"/>
                <w:sz w:val="20"/>
                <w:szCs w:val="20"/>
              </w:rPr>
              <w:t>168</w:t>
            </w:r>
            <w:r w:rsidRPr="005C62B6">
              <w:rPr>
                <w:rFonts w:ascii="Times New Roman" w:eastAsia="Calibri" w:hAnsi="Times New Roman" w:cs="Times New Roman"/>
                <w:sz w:val="20"/>
                <w:szCs w:val="20"/>
              </w:rPr>
              <w:t>,</w:t>
            </w:r>
            <w:r w:rsidR="0003295C" w:rsidRPr="005C62B6">
              <w:rPr>
                <w:rFonts w:ascii="Times New Roman" w:eastAsia="Calibri" w:hAnsi="Times New Roman" w:cs="Times New Roman"/>
                <w:sz w:val="20"/>
                <w:szCs w:val="20"/>
              </w:rPr>
              <w:t>8</w:t>
            </w:r>
            <w:r w:rsidRPr="005C62B6">
              <w:rPr>
                <w:rFonts w:ascii="Times New Roman" w:eastAsia="Calibri" w:hAnsi="Times New Roman" w:cs="Times New Roman"/>
                <w:sz w:val="20"/>
                <w:szCs w:val="20"/>
              </w:rPr>
              <w:t xml:space="preserve"> млн рублей, субвенций – </w:t>
            </w:r>
            <w:r w:rsidR="0003295C" w:rsidRPr="005C62B6">
              <w:rPr>
                <w:rFonts w:ascii="Times New Roman" w:eastAsia="Calibri" w:hAnsi="Times New Roman" w:cs="Times New Roman"/>
                <w:sz w:val="20"/>
                <w:szCs w:val="20"/>
              </w:rPr>
              <w:t>7</w:t>
            </w:r>
            <w:r w:rsidRPr="005C62B6">
              <w:rPr>
                <w:rFonts w:ascii="Times New Roman" w:eastAsia="Calibri" w:hAnsi="Times New Roman" w:cs="Times New Roman"/>
                <w:sz w:val="20"/>
                <w:szCs w:val="20"/>
              </w:rPr>
              <w:t xml:space="preserve"> </w:t>
            </w:r>
            <w:r w:rsidR="0003295C" w:rsidRPr="005C62B6">
              <w:rPr>
                <w:rFonts w:ascii="Times New Roman" w:eastAsia="Calibri" w:hAnsi="Times New Roman" w:cs="Times New Roman"/>
                <w:sz w:val="20"/>
                <w:szCs w:val="20"/>
              </w:rPr>
              <w:t>068</w:t>
            </w:r>
            <w:r w:rsidRPr="005C62B6">
              <w:rPr>
                <w:rFonts w:ascii="Times New Roman" w:eastAsia="Calibri" w:hAnsi="Times New Roman" w:cs="Times New Roman"/>
                <w:sz w:val="20"/>
                <w:szCs w:val="20"/>
              </w:rPr>
              <w:t>,</w:t>
            </w:r>
            <w:r w:rsidR="0003295C" w:rsidRPr="005C62B6">
              <w:rPr>
                <w:rFonts w:ascii="Times New Roman" w:eastAsia="Calibri" w:hAnsi="Times New Roman" w:cs="Times New Roman"/>
                <w:sz w:val="20"/>
                <w:szCs w:val="20"/>
              </w:rPr>
              <w:t>4</w:t>
            </w:r>
            <w:r w:rsidRPr="005C62B6">
              <w:rPr>
                <w:rFonts w:ascii="Times New Roman" w:eastAsia="Calibri" w:hAnsi="Times New Roman" w:cs="Times New Roman"/>
                <w:sz w:val="20"/>
                <w:szCs w:val="20"/>
              </w:rPr>
              <w:t xml:space="preserve"> млн рублей, иных межбюджетных трансфертов – </w:t>
            </w:r>
            <w:r w:rsidR="005C62B6" w:rsidRPr="005C62B6">
              <w:rPr>
                <w:rFonts w:ascii="Times New Roman" w:eastAsia="Calibri" w:hAnsi="Times New Roman" w:cs="Times New Roman"/>
                <w:sz w:val="20"/>
                <w:szCs w:val="20"/>
              </w:rPr>
              <w:t>7</w:t>
            </w:r>
            <w:r w:rsidRPr="005C62B6">
              <w:rPr>
                <w:rFonts w:ascii="Times New Roman" w:eastAsia="Calibri" w:hAnsi="Times New Roman" w:cs="Times New Roman"/>
                <w:sz w:val="20"/>
                <w:szCs w:val="20"/>
              </w:rPr>
              <w:t xml:space="preserve"> </w:t>
            </w:r>
            <w:r w:rsidR="005C62B6" w:rsidRPr="005C62B6">
              <w:rPr>
                <w:rFonts w:ascii="Times New Roman" w:eastAsia="Calibri" w:hAnsi="Times New Roman" w:cs="Times New Roman"/>
                <w:sz w:val="20"/>
                <w:szCs w:val="20"/>
              </w:rPr>
              <w:t>367</w:t>
            </w:r>
            <w:r w:rsidRPr="005C62B6">
              <w:rPr>
                <w:rFonts w:ascii="Times New Roman" w:eastAsia="Calibri" w:hAnsi="Times New Roman" w:cs="Times New Roman"/>
                <w:sz w:val="20"/>
                <w:szCs w:val="20"/>
              </w:rPr>
              <w:t>,</w:t>
            </w:r>
            <w:r w:rsidR="005C62B6" w:rsidRPr="005C62B6">
              <w:rPr>
                <w:rFonts w:ascii="Times New Roman" w:eastAsia="Calibri" w:hAnsi="Times New Roman" w:cs="Times New Roman"/>
                <w:sz w:val="20"/>
                <w:szCs w:val="20"/>
              </w:rPr>
              <w:t>9</w:t>
            </w:r>
            <w:r w:rsidRPr="005C62B6">
              <w:rPr>
                <w:rFonts w:ascii="Times New Roman" w:eastAsia="Calibri" w:hAnsi="Times New Roman" w:cs="Times New Roman"/>
                <w:sz w:val="20"/>
                <w:szCs w:val="20"/>
              </w:rPr>
              <w:t xml:space="preserve"> млн рублей.</w:t>
            </w:r>
          </w:p>
          <w:p w:rsidR="007B6FC7" w:rsidRPr="00E70FBC" w:rsidRDefault="007B6FC7" w:rsidP="0026534E">
            <w:pPr>
              <w:autoSpaceDE w:val="0"/>
              <w:autoSpaceDN w:val="0"/>
              <w:adjustRightInd w:val="0"/>
              <w:ind w:firstLine="459"/>
              <w:jc w:val="both"/>
              <w:rPr>
                <w:rFonts w:ascii="Times New Roman" w:eastAsia="Calibri" w:hAnsi="Times New Roman" w:cs="Times New Roman"/>
                <w:sz w:val="20"/>
                <w:szCs w:val="20"/>
              </w:rPr>
            </w:pPr>
            <w:r w:rsidRPr="005C62B6">
              <w:rPr>
                <w:rFonts w:ascii="Times New Roman" w:eastAsia="Calibri" w:hAnsi="Times New Roman" w:cs="Times New Roman"/>
                <w:sz w:val="20"/>
                <w:szCs w:val="20"/>
              </w:rPr>
              <w:t>На 1 января 202</w:t>
            </w:r>
            <w:r w:rsidR="005C62B6" w:rsidRPr="005C62B6">
              <w:rPr>
                <w:rFonts w:ascii="Times New Roman" w:eastAsia="Calibri" w:hAnsi="Times New Roman" w:cs="Times New Roman"/>
                <w:sz w:val="20"/>
                <w:szCs w:val="20"/>
              </w:rPr>
              <w:t>1</w:t>
            </w:r>
            <w:r w:rsidRPr="005C62B6">
              <w:rPr>
                <w:rFonts w:ascii="Times New Roman" w:eastAsia="Calibri" w:hAnsi="Times New Roman" w:cs="Times New Roman"/>
                <w:sz w:val="20"/>
                <w:szCs w:val="20"/>
              </w:rPr>
              <w:t xml:space="preserve"> года сложились остатки целевых межбюджетных трансфертов из федерального бюджета в объеме 0,</w:t>
            </w:r>
            <w:r w:rsidR="005C62B6" w:rsidRPr="005C62B6">
              <w:rPr>
                <w:rFonts w:ascii="Times New Roman" w:eastAsia="Calibri" w:hAnsi="Times New Roman" w:cs="Times New Roman"/>
                <w:sz w:val="20"/>
                <w:szCs w:val="20"/>
              </w:rPr>
              <w:t>7</w:t>
            </w:r>
            <w:r w:rsidRPr="005C62B6">
              <w:rPr>
                <w:rFonts w:ascii="Times New Roman" w:eastAsia="Calibri" w:hAnsi="Times New Roman" w:cs="Times New Roman"/>
                <w:sz w:val="20"/>
                <w:szCs w:val="20"/>
              </w:rPr>
              <w:t xml:space="preserve"> млн рублей, в том числе субвенций – 0,</w:t>
            </w:r>
            <w:r w:rsidR="005C62B6" w:rsidRPr="005C62B6">
              <w:rPr>
                <w:rFonts w:ascii="Times New Roman" w:eastAsia="Calibri" w:hAnsi="Times New Roman" w:cs="Times New Roman"/>
                <w:sz w:val="20"/>
                <w:szCs w:val="20"/>
              </w:rPr>
              <w:t>4</w:t>
            </w:r>
            <w:r w:rsidRPr="005C62B6">
              <w:rPr>
                <w:rFonts w:ascii="Times New Roman" w:eastAsia="Calibri" w:hAnsi="Times New Roman" w:cs="Times New Roman"/>
                <w:sz w:val="20"/>
                <w:szCs w:val="20"/>
              </w:rPr>
              <w:t xml:space="preserve"> млн рублей, субсидий – 0,</w:t>
            </w:r>
            <w:r w:rsidR="005C62B6" w:rsidRPr="005C62B6">
              <w:rPr>
                <w:rFonts w:ascii="Times New Roman" w:eastAsia="Calibri" w:hAnsi="Times New Roman" w:cs="Times New Roman"/>
                <w:sz w:val="20"/>
                <w:szCs w:val="20"/>
              </w:rPr>
              <w:t>2</w:t>
            </w:r>
            <w:r w:rsidRPr="005C62B6">
              <w:rPr>
                <w:rFonts w:ascii="Times New Roman" w:eastAsia="Calibri" w:hAnsi="Times New Roman" w:cs="Times New Roman"/>
                <w:sz w:val="20"/>
                <w:szCs w:val="20"/>
              </w:rPr>
              <w:t xml:space="preserve"> млн рублей</w:t>
            </w:r>
            <w:r w:rsidR="005C62B6" w:rsidRPr="005C62B6">
              <w:rPr>
                <w:rFonts w:ascii="Times New Roman" w:eastAsia="Calibri" w:hAnsi="Times New Roman" w:cs="Times New Roman"/>
                <w:sz w:val="20"/>
                <w:szCs w:val="20"/>
              </w:rPr>
              <w:t>, иных межбюджетных трансфертов – 0,1 млн рублей</w:t>
            </w:r>
            <w:r w:rsidRPr="005C62B6">
              <w:rPr>
                <w:rFonts w:ascii="Times New Roman" w:eastAsia="Calibri" w:hAnsi="Times New Roman" w:cs="Times New Roman"/>
                <w:sz w:val="20"/>
                <w:szCs w:val="20"/>
              </w:rPr>
              <w:t xml:space="preserve"> в связи с уменьшением </w:t>
            </w:r>
            <w:r w:rsidRPr="00E70FBC">
              <w:rPr>
                <w:rFonts w:ascii="Times New Roman" w:eastAsia="Calibri" w:hAnsi="Times New Roman" w:cs="Times New Roman"/>
                <w:sz w:val="20"/>
                <w:szCs w:val="20"/>
              </w:rPr>
              <w:t xml:space="preserve">фактической численности получателей средств по сравнению с запланированной, </w:t>
            </w:r>
            <w:r w:rsidR="005C62B6" w:rsidRPr="00E70FBC">
              <w:rPr>
                <w:rFonts w:ascii="Times New Roman" w:eastAsia="Calibri" w:hAnsi="Times New Roman" w:cs="Times New Roman"/>
                <w:sz w:val="20"/>
                <w:szCs w:val="20"/>
              </w:rPr>
              <w:t>предоставлением неточных платежных реквизитов получателям</w:t>
            </w:r>
            <w:r w:rsidR="00E70FBC" w:rsidRPr="00E70FBC">
              <w:rPr>
                <w:rFonts w:ascii="Times New Roman" w:eastAsia="Calibri" w:hAnsi="Times New Roman" w:cs="Times New Roman"/>
                <w:sz w:val="20"/>
                <w:szCs w:val="20"/>
              </w:rPr>
              <w:t>и</w:t>
            </w:r>
            <w:r w:rsidR="005C62B6" w:rsidRPr="00E70FBC">
              <w:rPr>
                <w:rFonts w:ascii="Times New Roman" w:eastAsia="Calibri" w:hAnsi="Times New Roman" w:cs="Times New Roman"/>
                <w:sz w:val="20"/>
                <w:szCs w:val="20"/>
              </w:rPr>
              <w:t xml:space="preserve"> средств</w:t>
            </w:r>
            <w:r w:rsidRPr="00E70FBC">
              <w:rPr>
                <w:rFonts w:ascii="Times New Roman" w:eastAsia="Calibri" w:hAnsi="Times New Roman" w:cs="Times New Roman"/>
                <w:sz w:val="20"/>
                <w:szCs w:val="20"/>
              </w:rPr>
              <w:t>.</w:t>
            </w:r>
          </w:p>
          <w:p w:rsidR="007B6FC7" w:rsidRPr="00577FCE" w:rsidRDefault="007B6FC7" w:rsidP="0026534E">
            <w:pPr>
              <w:autoSpaceDE w:val="0"/>
              <w:autoSpaceDN w:val="0"/>
              <w:adjustRightInd w:val="0"/>
              <w:ind w:firstLine="459"/>
              <w:jc w:val="both"/>
              <w:rPr>
                <w:rFonts w:ascii="Times New Roman" w:eastAsia="Calibri" w:hAnsi="Times New Roman" w:cs="Times New Roman"/>
                <w:sz w:val="20"/>
                <w:szCs w:val="20"/>
              </w:rPr>
            </w:pPr>
            <w:r w:rsidRPr="00577FCE">
              <w:rPr>
                <w:rFonts w:ascii="Times New Roman" w:eastAsia="Calibri" w:hAnsi="Times New Roman" w:cs="Times New Roman"/>
                <w:sz w:val="20"/>
                <w:szCs w:val="20"/>
              </w:rPr>
              <w:t>В 20</w:t>
            </w:r>
            <w:r w:rsidR="00E70FBC" w:rsidRPr="00577FCE">
              <w:rPr>
                <w:rFonts w:ascii="Times New Roman" w:eastAsia="Calibri" w:hAnsi="Times New Roman" w:cs="Times New Roman"/>
                <w:sz w:val="20"/>
                <w:szCs w:val="20"/>
              </w:rPr>
              <w:t>20</w:t>
            </w:r>
            <w:r w:rsidRPr="00577FCE">
              <w:rPr>
                <w:rFonts w:ascii="Times New Roman" w:eastAsia="Calibri" w:hAnsi="Times New Roman" w:cs="Times New Roman"/>
                <w:sz w:val="20"/>
                <w:szCs w:val="20"/>
              </w:rPr>
              <w:t xml:space="preserve"> году было заключено с федеральными органами государственной власти </w:t>
            </w:r>
            <w:r w:rsidR="006A44F8" w:rsidRPr="00577FCE">
              <w:rPr>
                <w:rFonts w:ascii="Times New Roman" w:eastAsia="Calibri" w:hAnsi="Times New Roman" w:cs="Times New Roman"/>
                <w:sz w:val="20"/>
                <w:szCs w:val="20"/>
              </w:rPr>
              <w:t>55</w:t>
            </w:r>
            <w:r w:rsidRPr="00577FCE">
              <w:rPr>
                <w:rFonts w:ascii="Times New Roman" w:eastAsia="Calibri" w:hAnsi="Times New Roman" w:cs="Times New Roman"/>
                <w:sz w:val="20"/>
                <w:szCs w:val="20"/>
              </w:rPr>
              <w:t xml:space="preserve"> соглашений о предоставлении из федерального бюджета субсидий бюджету автономного округа, </w:t>
            </w:r>
            <w:r w:rsidR="00577FCE" w:rsidRPr="00577FCE">
              <w:rPr>
                <w:rFonts w:ascii="Times New Roman" w:eastAsia="Calibri" w:hAnsi="Times New Roman" w:cs="Times New Roman"/>
                <w:sz w:val="20"/>
                <w:szCs w:val="20"/>
              </w:rPr>
              <w:t>21</w:t>
            </w:r>
            <w:r w:rsidRPr="00577FCE">
              <w:rPr>
                <w:rFonts w:ascii="Times New Roman" w:eastAsia="Calibri" w:hAnsi="Times New Roman" w:cs="Times New Roman"/>
                <w:sz w:val="20"/>
                <w:szCs w:val="20"/>
              </w:rPr>
              <w:t xml:space="preserve"> соглашени</w:t>
            </w:r>
            <w:r w:rsidR="00577FCE" w:rsidRPr="00577FCE">
              <w:rPr>
                <w:rFonts w:ascii="Times New Roman" w:eastAsia="Calibri" w:hAnsi="Times New Roman" w:cs="Times New Roman"/>
                <w:sz w:val="20"/>
                <w:szCs w:val="20"/>
              </w:rPr>
              <w:t>е</w:t>
            </w:r>
            <w:r w:rsidRPr="00577FCE">
              <w:rPr>
                <w:rFonts w:ascii="Times New Roman" w:eastAsia="Calibri" w:hAnsi="Times New Roman" w:cs="Times New Roman"/>
                <w:sz w:val="20"/>
                <w:szCs w:val="20"/>
              </w:rPr>
              <w:t xml:space="preserve"> – о предоставлении иных межбюджетных трансфертов. Заключенными соглашениями установлены </w:t>
            </w:r>
            <w:r w:rsidR="00577FCE" w:rsidRPr="00577FCE">
              <w:rPr>
                <w:rFonts w:ascii="Times New Roman" w:eastAsia="Calibri" w:hAnsi="Times New Roman" w:cs="Times New Roman"/>
                <w:sz w:val="20"/>
                <w:szCs w:val="20"/>
              </w:rPr>
              <w:t>84</w:t>
            </w:r>
            <w:r w:rsidRPr="00577FCE">
              <w:rPr>
                <w:rFonts w:ascii="Times New Roman" w:eastAsia="Calibri" w:hAnsi="Times New Roman" w:cs="Times New Roman"/>
                <w:sz w:val="20"/>
                <w:szCs w:val="20"/>
              </w:rPr>
              <w:t xml:space="preserve"> показателя результативности использования субсидий из федерального бюджета, </w:t>
            </w:r>
            <w:r w:rsidR="00577FCE" w:rsidRPr="00577FCE">
              <w:rPr>
                <w:rFonts w:ascii="Times New Roman" w:eastAsia="Calibri" w:hAnsi="Times New Roman" w:cs="Times New Roman"/>
                <w:sz w:val="20"/>
                <w:szCs w:val="20"/>
              </w:rPr>
              <w:t>18</w:t>
            </w:r>
            <w:r w:rsidRPr="00577FCE">
              <w:rPr>
                <w:rFonts w:ascii="Times New Roman" w:eastAsia="Calibri" w:hAnsi="Times New Roman" w:cs="Times New Roman"/>
                <w:sz w:val="20"/>
                <w:szCs w:val="20"/>
              </w:rPr>
              <w:t xml:space="preserve"> показателей результативности использования иных межбюджетных трансфертов из федерального бюджета.</w:t>
            </w:r>
          </w:p>
          <w:p w:rsidR="00406E3A" w:rsidRPr="00471757" w:rsidRDefault="007B6FC7" w:rsidP="00702EB0">
            <w:pPr>
              <w:autoSpaceDE w:val="0"/>
              <w:autoSpaceDN w:val="0"/>
              <w:adjustRightInd w:val="0"/>
              <w:ind w:firstLine="459"/>
              <w:jc w:val="both"/>
              <w:rPr>
                <w:rFonts w:ascii="Times New Roman" w:eastAsia="Calibri" w:hAnsi="Times New Roman" w:cs="Times New Roman"/>
                <w:sz w:val="20"/>
                <w:szCs w:val="20"/>
              </w:rPr>
            </w:pPr>
            <w:r w:rsidRPr="0026534E">
              <w:rPr>
                <w:rFonts w:ascii="Times New Roman" w:eastAsia="Calibri" w:hAnsi="Times New Roman" w:cs="Times New Roman"/>
                <w:sz w:val="20"/>
                <w:szCs w:val="20"/>
              </w:rPr>
              <w:t>По состоянию на 1 января 202</w:t>
            </w:r>
            <w:r w:rsidR="00577FCE" w:rsidRPr="0026534E">
              <w:rPr>
                <w:rFonts w:ascii="Times New Roman" w:eastAsia="Calibri" w:hAnsi="Times New Roman" w:cs="Times New Roman"/>
                <w:sz w:val="20"/>
                <w:szCs w:val="20"/>
              </w:rPr>
              <w:t>1</w:t>
            </w:r>
            <w:r w:rsidRPr="0026534E">
              <w:rPr>
                <w:rFonts w:ascii="Times New Roman" w:eastAsia="Calibri" w:hAnsi="Times New Roman" w:cs="Times New Roman"/>
                <w:sz w:val="20"/>
                <w:szCs w:val="20"/>
              </w:rPr>
              <w:t xml:space="preserve"> года достигнуто значение </w:t>
            </w:r>
            <w:r w:rsidR="0026534E" w:rsidRPr="0026534E">
              <w:rPr>
                <w:rFonts w:ascii="Times New Roman" w:eastAsia="Calibri" w:hAnsi="Times New Roman" w:cs="Times New Roman"/>
                <w:sz w:val="20"/>
                <w:szCs w:val="20"/>
              </w:rPr>
              <w:t>8</w:t>
            </w:r>
            <w:r w:rsidR="000E72C8">
              <w:rPr>
                <w:rFonts w:ascii="Times New Roman" w:eastAsia="Calibri" w:hAnsi="Times New Roman" w:cs="Times New Roman"/>
                <w:sz w:val="20"/>
                <w:szCs w:val="20"/>
              </w:rPr>
              <w:t>8</w:t>
            </w:r>
            <w:r w:rsidRPr="0026534E">
              <w:rPr>
                <w:rFonts w:ascii="Times New Roman" w:eastAsia="Calibri" w:hAnsi="Times New Roman" w:cs="Times New Roman"/>
                <w:sz w:val="20"/>
                <w:szCs w:val="20"/>
              </w:rPr>
              <w:t xml:space="preserve"> показателей результативности, из них 3</w:t>
            </w:r>
            <w:r w:rsidR="00B2086C">
              <w:rPr>
                <w:rFonts w:ascii="Times New Roman" w:eastAsia="Calibri" w:hAnsi="Times New Roman" w:cs="Times New Roman"/>
                <w:sz w:val="20"/>
                <w:szCs w:val="20"/>
              </w:rPr>
              <w:t>5</w:t>
            </w:r>
            <w:r w:rsidRPr="0026534E">
              <w:rPr>
                <w:rFonts w:ascii="Times New Roman" w:eastAsia="Calibri" w:hAnsi="Times New Roman" w:cs="Times New Roman"/>
                <w:sz w:val="20"/>
                <w:szCs w:val="20"/>
              </w:rPr>
              <w:t xml:space="preserve"> – с превышением планового значения, </w:t>
            </w:r>
            <w:r w:rsidR="0026534E" w:rsidRPr="0026534E">
              <w:rPr>
                <w:rFonts w:ascii="Times New Roman" w:eastAsia="Calibri" w:hAnsi="Times New Roman" w:cs="Times New Roman"/>
                <w:sz w:val="20"/>
                <w:szCs w:val="20"/>
              </w:rPr>
              <w:t>1</w:t>
            </w:r>
            <w:r w:rsidR="00DE2412">
              <w:rPr>
                <w:rFonts w:ascii="Times New Roman" w:eastAsia="Calibri" w:hAnsi="Times New Roman" w:cs="Times New Roman"/>
                <w:sz w:val="20"/>
                <w:szCs w:val="20"/>
              </w:rPr>
              <w:t>4</w:t>
            </w:r>
            <w:r w:rsidRPr="0026534E">
              <w:rPr>
                <w:rFonts w:ascii="Times New Roman" w:eastAsia="Calibri" w:hAnsi="Times New Roman" w:cs="Times New Roman"/>
                <w:sz w:val="20"/>
                <w:szCs w:val="20"/>
              </w:rPr>
              <w:t xml:space="preserve"> значени</w:t>
            </w:r>
            <w:r w:rsidR="00702EB0">
              <w:rPr>
                <w:rFonts w:ascii="Times New Roman" w:eastAsia="Calibri" w:hAnsi="Times New Roman" w:cs="Times New Roman"/>
                <w:sz w:val="20"/>
                <w:szCs w:val="20"/>
              </w:rPr>
              <w:t>й</w:t>
            </w:r>
            <w:r w:rsidRPr="0026534E">
              <w:rPr>
                <w:rFonts w:ascii="Times New Roman" w:eastAsia="Calibri" w:hAnsi="Times New Roman" w:cs="Times New Roman"/>
                <w:sz w:val="20"/>
                <w:szCs w:val="20"/>
              </w:rPr>
              <w:t xml:space="preserve"> показателей не достигнуто (см. подпункт </w:t>
            </w:r>
            <w:r w:rsidR="0026534E" w:rsidRPr="0026534E">
              <w:rPr>
                <w:rFonts w:ascii="Times New Roman" w:eastAsia="Calibri" w:hAnsi="Times New Roman" w:cs="Times New Roman"/>
                <w:sz w:val="20"/>
                <w:szCs w:val="20"/>
              </w:rPr>
              <w:t>к</w:t>
            </w:r>
            <w:r w:rsidRPr="0026534E">
              <w:rPr>
                <w:rFonts w:ascii="Times New Roman" w:eastAsia="Calibri" w:hAnsi="Times New Roman" w:cs="Times New Roman"/>
                <w:sz w:val="20"/>
                <w:szCs w:val="20"/>
              </w:rPr>
              <w:t>.).</w:t>
            </w:r>
          </w:p>
        </w:tc>
      </w:tr>
      <w:tr w:rsidR="00406E3A" w:rsidTr="00C6080D">
        <w:trPr>
          <w:cantSplit/>
        </w:trPr>
        <w:tc>
          <w:tcPr>
            <w:tcW w:w="1485" w:type="dxa"/>
            <w:tcBorders>
              <w:top w:val="nil"/>
              <w:bottom w:val="single" w:sz="4" w:space="0" w:color="auto"/>
            </w:tcBorders>
          </w:tcPr>
          <w:p w:rsidR="00406E3A" w:rsidRPr="001D0F88" w:rsidRDefault="00406E3A" w:rsidP="0012029A">
            <w:pPr>
              <w:jc w:val="center"/>
              <w:rPr>
                <w:rFonts w:ascii="Times New Roman" w:hAnsi="Times New Roman" w:cs="Times New Roman"/>
                <w:sz w:val="20"/>
                <w:szCs w:val="20"/>
              </w:rPr>
            </w:pPr>
          </w:p>
        </w:tc>
        <w:tc>
          <w:tcPr>
            <w:tcW w:w="7128" w:type="dxa"/>
          </w:tcPr>
          <w:p w:rsidR="00406E3A" w:rsidRPr="00230DE4" w:rsidRDefault="00406E3A" w:rsidP="0012029A">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з) </w:t>
            </w:r>
            <w:r w:rsidR="00210CD8" w:rsidRPr="00210CD8">
              <w:rPr>
                <w:rFonts w:ascii="Times New Roman" w:hAnsi="Times New Roman" w:cs="Times New Roman"/>
                <w:sz w:val="20"/>
                <w:szCs w:val="20"/>
              </w:rPr>
              <w:t>своевременное подписание соглашений с главными распорядителями средств федерального бюджета, осуществляющими предоставление межбюджетных субсидий, иных межбюджетных трансфертов;</w:t>
            </w:r>
          </w:p>
        </w:tc>
        <w:tc>
          <w:tcPr>
            <w:tcW w:w="6663" w:type="dxa"/>
          </w:tcPr>
          <w:p w:rsidR="00406E3A" w:rsidRPr="00CD3929" w:rsidRDefault="003111DC" w:rsidP="003111DC">
            <w:pPr>
              <w:ind w:firstLine="459"/>
              <w:jc w:val="both"/>
              <w:rPr>
                <w:rFonts w:ascii="Times New Roman" w:hAnsi="Times New Roman" w:cs="Times New Roman"/>
                <w:sz w:val="20"/>
                <w:szCs w:val="20"/>
              </w:rPr>
            </w:pPr>
            <w:r>
              <w:rPr>
                <w:rFonts w:ascii="Times New Roman" w:hAnsi="Times New Roman" w:cs="Times New Roman"/>
                <w:sz w:val="20"/>
                <w:szCs w:val="20"/>
              </w:rPr>
              <w:t>в</w:t>
            </w:r>
            <w:r w:rsidR="0026534E" w:rsidRPr="0026534E">
              <w:rPr>
                <w:rFonts w:ascii="Times New Roman" w:hAnsi="Times New Roman" w:cs="Times New Roman"/>
                <w:sz w:val="20"/>
                <w:szCs w:val="20"/>
              </w:rPr>
              <w:t>се соглашения о предоставлении субсидий</w:t>
            </w:r>
            <w:r>
              <w:rPr>
                <w:rFonts w:ascii="Times New Roman" w:hAnsi="Times New Roman" w:cs="Times New Roman"/>
                <w:sz w:val="20"/>
                <w:szCs w:val="20"/>
              </w:rPr>
              <w:t>, иных межбюджетных трансфертов, распределенных бюджету Ханты-Мансийского автономного округа – Югры законом о</w:t>
            </w:r>
            <w:r w:rsidR="0026534E" w:rsidRPr="0026534E">
              <w:rPr>
                <w:rFonts w:ascii="Times New Roman" w:hAnsi="Times New Roman" w:cs="Times New Roman"/>
                <w:sz w:val="20"/>
                <w:szCs w:val="20"/>
              </w:rPr>
              <w:t xml:space="preserve"> федерально</w:t>
            </w:r>
            <w:r>
              <w:rPr>
                <w:rFonts w:ascii="Times New Roman" w:hAnsi="Times New Roman" w:cs="Times New Roman"/>
                <w:sz w:val="20"/>
                <w:szCs w:val="20"/>
              </w:rPr>
              <w:t>м</w:t>
            </w:r>
            <w:r w:rsidR="0026534E" w:rsidRPr="0026534E">
              <w:rPr>
                <w:rFonts w:ascii="Times New Roman" w:hAnsi="Times New Roman" w:cs="Times New Roman"/>
                <w:sz w:val="20"/>
                <w:szCs w:val="20"/>
              </w:rPr>
              <w:t xml:space="preserve"> бюджет</w:t>
            </w:r>
            <w:r>
              <w:rPr>
                <w:rFonts w:ascii="Times New Roman" w:hAnsi="Times New Roman" w:cs="Times New Roman"/>
                <w:sz w:val="20"/>
                <w:szCs w:val="20"/>
              </w:rPr>
              <w:t>е на 2020 год и на плановый период 2021 и 2022 годов</w:t>
            </w:r>
            <w:r w:rsidR="0026534E" w:rsidRPr="0026534E">
              <w:rPr>
                <w:rFonts w:ascii="Times New Roman" w:hAnsi="Times New Roman" w:cs="Times New Roman"/>
                <w:sz w:val="20"/>
                <w:szCs w:val="20"/>
              </w:rPr>
              <w:t xml:space="preserve"> (</w:t>
            </w:r>
            <w:r>
              <w:rPr>
                <w:rFonts w:ascii="Times New Roman" w:hAnsi="Times New Roman" w:cs="Times New Roman"/>
                <w:sz w:val="20"/>
                <w:szCs w:val="20"/>
              </w:rPr>
              <w:t>57</w:t>
            </w:r>
            <w:r w:rsidR="0026534E" w:rsidRPr="0026534E">
              <w:rPr>
                <w:rFonts w:ascii="Times New Roman" w:hAnsi="Times New Roman" w:cs="Times New Roman"/>
                <w:sz w:val="20"/>
                <w:szCs w:val="20"/>
              </w:rPr>
              <w:t xml:space="preserve">) заключены в срок до 1 </w:t>
            </w:r>
            <w:r>
              <w:rPr>
                <w:rFonts w:ascii="Times New Roman" w:hAnsi="Times New Roman" w:cs="Times New Roman"/>
                <w:sz w:val="20"/>
                <w:szCs w:val="20"/>
              </w:rPr>
              <w:t>января</w:t>
            </w:r>
            <w:r w:rsidR="0026534E" w:rsidRPr="0026534E">
              <w:rPr>
                <w:rFonts w:ascii="Times New Roman" w:hAnsi="Times New Roman" w:cs="Times New Roman"/>
                <w:sz w:val="20"/>
                <w:szCs w:val="20"/>
              </w:rPr>
              <w:t xml:space="preserve"> 20</w:t>
            </w:r>
            <w:r>
              <w:rPr>
                <w:rFonts w:ascii="Times New Roman" w:hAnsi="Times New Roman" w:cs="Times New Roman"/>
                <w:sz w:val="20"/>
                <w:szCs w:val="20"/>
              </w:rPr>
              <w:t>20</w:t>
            </w:r>
            <w:r w:rsidR="0026534E" w:rsidRPr="0026534E">
              <w:rPr>
                <w:rFonts w:ascii="Times New Roman" w:hAnsi="Times New Roman" w:cs="Times New Roman"/>
                <w:sz w:val="20"/>
                <w:szCs w:val="20"/>
              </w:rPr>
              <w:t xml:space="preserve"> года.</w:t>
            </w:r>
          </w:p>
        </w:tc>
      </w:tr>
      <w:tr w:rsidR="00406E3A" w:rsidTr="00C6080D">
        <w:trPr>
          <w:cantSplit/>
        </w:trPr>
        <w:tc>
          <w:tcPr>
            <w:tcW w:w="1485" w:type="dxa"/>
            <w:tcBorders>
              <w:top w:val="single" w:sz="4" w:space="0" w:color="auto"/>
            </w:tcBorders>
          </w:tcPr>
          <w:p w:rsidR="00406E3A" w:rsidRPr="001D0F88" w:rsidRDefault="00406E3A" w:rsidP="00BD63B0">
            <w:pPr>
              <w:jc w:val="center"/>
              <w:rPr>
                <w:rFonts w:ascii="Times New Roman" w:hAnsi="Times New Roman" w:cs="Times New Roman"/>
                <w:sz w:val="20"/>
                <w:szCs w:val="20"/>
              </w:rPr>
            </w:pPr>
          </w:p>
        </w:tc>
        <w:tc>
          <w:tcPr>
            <w:tcW w:w="7128" w:type="dxa"/>
          </w:tcPr>
          <w:p w:rsidR="00406E3A" w:rsidRPr="00230DE4" w:rsidRDefault="00406E3A" w:rsidP="00E82A5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 xml:space="preserve">и) </w:t>
            </w:r>
            <w:r w:rsidR="00210CD8" w:rsidRPr="00210CD8">
              <w:rPr>
                <w:rFonts w:ascii="Times New Roman" w:hAnsi="Times New Roman" w:cs="Times New Roman"/>
                <w:sz w:val="20"/>
                <w:szCs w:val="20"/>
              </w:rPr>
              <w:t>заключение соглашений с муниципальными образованиями автономного округа не позднее 30-го дня со дня вступления в силу соглашений с главными распорядителями средств федерального бюджета в отношении предоставляемых из федерального бюджета субсидий, иных межбюджетных трансфертов на финансовое обеспечение исполнения расходных обязательств автономного округа по оказанию финансовой поддержки осуществления органами местного самоуправления муниципальных образований автономного округа полномочий по вопросам местного значения;</w:t>
            </w:r>
          </w:p>
        </w:tc>
        <w:tc>
          <w:tcPr>
            <w:tcW w:w="6663" w:type="dxa"/>
          </w:tcPr>
          <w:p w:rsidR="00090973" w:rsidRDefault="00497BD3" w:rsidP="00F316C7">
            <w:pPr>
              <w:ind w:firstLine="459"/>
              <w:jc w:val="both"/>
              <w:rPr>
                <w:rFonts w:ascii="Times New Roman" w:hAnsi="Times New Roman" w:cs="Times New Roman"/>
                <w:sz w:val="20"/>
                <w:szCs w:val="20"/>
              </w:rPr>
            </w:pPr>
            <w:r>
              <w:rPr>
                <w:rFonts w:ascii="Times New Roman" w:hAnsi="Times New Roman" w:cs="Times New Roman"/>
                <w:sz w:val="20"/>
                <w:szCs w:val="20"/>
              </w:rPr>
              <w:t>по 4 видам субсидий</w:t>
            </w:r>
            <w:r w:rsidR="00F316C7">
              <w:rPr>
                <w:rFonts w:ascii="Times New Roman" w:hAnsi="Times New Roman" w:cs="Times New Roman"/>
                <w:sz w:val="20"/>
                <w:szCs w:val="20"/>
              </w:rPr>
              <w:t xml:space="preserve"> из 13</w:t>
            </w:r>
            <w:r>
              <w:rPr>
                <w:rFonts w:ascii="Times New Roman" w:hAnsi="Times New Roman" w:cs="Times New Roman"/>
                <w:sz w:val="20"/>
                <w:szCs w:val="20"/>
              </w:rPr>
              <w:t xml:space="preserve"> и 3 видам </w:t>
            </w:r>
            <w:r w:rsidR="00F316C7">
              <w:rPr>
                <w:rFonts w:ascii="Times New Roman" w:hAnsi="Times New Roman" w:cs="Times New Roman"/>
                <w:sz w:val="20"/>
                <w:szCs w:val="20"/>
              </w:rPr>
              <w:t xml:space="preserve">иных </w:t>
            </w:r>
            <w:r>
              <w:rPr>
                <w:rFonts w:ascii="Times New Roman" w:hAnsi="Times New Roman" w:cs="Times New Roman"/>
                <w:sz w:val="20"/>
                <w:szCs w:val="20"/>
              </w:rPr>
              <w:t xml:space="preserve">межбюджетных трансфертов </w:t>
            </w:r>
            <w:r w:rsidR="00F316C7">
              <w:rPr>
                <w:rFonts w:ascii="Times New Roman" w:hAnsi="Times New Roman" w:cs="Times New Roman"/>
                <w:sz w:val="20"/>
                <w:szCs w:val="20"/>
              </w:rPr>
              <w:t xml:space="preserve">из 4, передаваемых </w:t>
            </w:r>
            <w:r w:rsidR="00F316C7" w:rsidRPr="00210CD8">
              <w:rPr>
                <w:rFonts w:ascii="Times New Roman" w:hAnsi="Times New Roman" w:cs="Times New Roman"/>
                <w:sz w:val="20"/>
                <w:szCs w:val="20"/>
              </w:rPr>
              <w:t>органам местного самоуправления муниципальных образований автономного округа</w:t>
            </w:r>
            <w:r w:rsidR="008B18FA">
              <w:rPr>
                <w:rFonts w:ascii="Times New Roman" w:hAnsi="Times New Roman" w:cs="Times New Roman"/>
                <w:sz w:val="20"/>
                <w:szCs w:val="20"/>
              </w:rPr>
              <w:t xml:space="preserve"> на реализацию</w:t>
            </w:r>
            <w:r w:rsidR="00F316C7">
              <w:rPr>
                <w:rFonts w:ascii="Times New Roman" w:hAnsi="Times New Roman" w:cs="Times New Roman"/>
                <w:sz w:val="20"/>
                <w:szCs w:val="20"/>
              </w:rPr>
              <w:t xml:space="preserve"> </w:t>
            </w:r>
            <w:r w:rsidR="00F316C7" w:rsidRPr="00210CD8">
              <w:rPr>
                <w:rFonts w:ascii="Times New Roman" w:hAnsi="Times New Roman" w:cs="Times New Roman"/>
                <w:sz w:val="20"/>
                <w:szCs w:val="20"/>
              </w:rPr>
              <w:t>полномочий по вопросам местного значения</w:t>
            </w:r>
            <w:r w:rsidR="008B18FA">
              <w:rPr>
                <w:rFonts w:ascii="Times New Roman" w:hAnsi="Times New Roman" w:cs="Times New Roman"/>
                <w:sz w:val="20"/>
                <w:szCs w:val="20"/>
              </w:rPr>
              <w:t>, соглашения заключены в установленный срок.</w:t>
            </w:r>
          </w:p>
          <w:p w:rsidR="002C176E" w:rsidRDefault="002C176E" w:rsidP="00F316C7">
            <w:pPr>
              <w:ind w:firstLine="459"/>
              <w:jc w:val="both"/>
              <w:rPr>
                <w:rFonts w:ascii="Times New Roman" w:hAnsi="Times New Roman" w:cs="Times New Roman"/>
                <w:sz w:val="20"/>
                <w:szCs w:val="20"/>
              </w:rPr>
            </w:pPr>
            <w:r>
              <w:rPr>
                <w:rFonts w:ascii="Times New Roman" w:hAnsi="Times New Roman" w:cs="Times New Roman"/>
                <w:sz w:val="20"/>
                <w:szCs w:val="20"/>
              </w:rPr>
              <w:t>Несвоевременно заключ</w:t>
            </w:r>
            <w:r w:rsidR="005B49F1">
              <w:rPr>
                <w:rFonts w:ascii="Times New Roman" w:hAnsi="Times New Roman" w:cs="Times New Roman"/>
                <w:sz w:val="20"/>
                <w:szCs w:val="20"/>
              </w:rPr>
              <w:t>ены</w:t>
            </w:r>
            <w:r>
              <w:rPr>
                <w:rFonts w:ascii="Times New Roman" w:hAnsi="Times New Roman" w:cs="Times New Roman"/>
                <w:sz w:val="20"/>
                <w:szCs w:val="20"/>
              </w:rPr>
              <w:t>:</w:t>
            </w:r>
          </w:p>
          <w:p w:rsidR="002C176E" w:rsidRDefault="002C176E" w:rsidP="00F316C7">
            <w:pPr>
              <w:ind w:firstLine="459"/>
              <w:jc w:val="both"/>
              <w:rPr>
                <w:rFonts w:ascii="Times New Roman" w:hAnsi="Times New Roman" w:cs="Times New Roman"/>
                <w:sz w:val="20"/>
                <w:szCs w:val="20"/>
              </w:rPr>
            </w:pPr>
            <w:r>
              <w:rPr>
                <w:rFonts w:ascii="Times New Roman" w:hAnsi="Times New Roman" w:cs="Times New Roman"/>
                <w:sz w:val="20"/>
                <w:szCs w:val="20"/>
              </w:rPr>
              <w:t xml:space="preserve">- </w:t>
            </w:r>
            <w:r w:rsidRPr="002C176E">
              <w:rPr>
                <w:rFonts w:ascii="Times New Roman" w:hAnsi="Times New Roman" w:cs="Times New Roman"/>
                <w:sz w:val="20"/>
                <w:szCs w:val="20"/>
              </w:rPr>
              <w:t>Департамент</w:t>
            </w:r>
            <w:r w:rsidR="005B49F1">
              <w:rPr>
                <w:rFonts w:ascii="Times New Roman" w:hAnsi="Times New Roman" w:cs="Times New Roman"/>
                <w:sz w:val="20"/>
                <w:szCs w:val="20"/>
              </w:rPr>
              <w:t>ом</w:t>
            </w:r>
            <w:r w:rsidRPr="002C176E">
              <w:rPr>
                <w:rFonts w:ascii="Times New Roman" w:hAnsi="Times New Roman" w:cs="Times New Roman"/>
                <w:sz w:val="20"/>
                <w:szCs w:val="20"/>
              </w:rPr>
              <w:t xml:space="preserve"> образования и молодежной политики автономного округа </w:t>
            </w:r>
            <w:r>
              <w:rPr>
                <w:rFonts w:ascii="Times New Roman" w:hAnsi="Times New Roman" w:cs="Times New Roman"/>
                <w:sz w:val="20"/>
                <w:szCs w:val="20"/>
              </w:rPr>
              <w:t xml:space="preserve">– </w:t>
            </w:r>
            <w:r w:rsidR="005B49F1">
              <w:rPr>
                <w:rFonts w:ascii="Times New Roman" w:hAnsi="Times New Roman" w:cs="Times New Roman"/>
                <w:sz w:val="20"/>
                <w:szCs w:val="20"/>
              </w:rPr>
              <w:t>2</w:t>
            </w:r>
            <w:r w:rsidR="007F47C6">
              <w:rPr>
                <w:rFonts w:ascii="Times New Roman" w:hAnsi="Times New Roman" w:cs="Times New Roman"/>
                <w:sz w:val="20"/>
                <w:szCs w:val="20"/>
              </w:rPr>
              <w:t>8</w:t>
            </w:r>
            <w:r>
              <w:rPr>
                <w:rFonts w:ascii="Times New Roman" w:hAnsi="Times New Roman" w:cs="Times New Roman"/>
                <w:sz w:val="20"/>
                <w:szCs w:val="20"/>
              </w:rPr>
              <w:t xml:space="preserve"> соглашений;</w:t>
            </w:r>
          </w:p>
          <w:p w:rsidR="007F47C6" w:rsidRDefault="002C176E" w:rsidP="00F316C7">
            <w:pPr>
              <w:ind w:firstLine="459"/>
              <w:jc w:val="both"/>
              <w:rPr>
                <w:rFonts w:ascii="Times New Roman" w:hAnsi="Times New Roman" w:cs="Times New Roman"/>
                <w:sz w:val="20"/>
                <w:szCs w:val="20"/>
              </w:rPr>
            </w:pPr>
            <w:r>
              <w:rPr>
                <w:rFonts w:ascii="Times New Roman" w:hAnsi="Times New Roman" w:cs="Times New Roman"/>
                <w:sz w:val="20"/>
                <w:szCs w:val="20"/>
              </w:rPr>
              <w:t xml:space="preserve">- </w:t>
            </w:r>
            <w:r w:rsidRPr="002C176E">
              <w:rPr>
                <w:rFonts w:ascii="Times New Roman" w:hAnsi="Times New Roman" w:cs="Times New Roman"/>
                <w:sz w:val="20"/>
                <w:szCs w:val="20"/>
              </w:rPr>
              <w:t>Департамент</w:t>
            </w:r>
            <w:r w:rsidR="005B49F1">
              <w:rPr>
                <w:rFonts w:ascii="Times New Roman" w:hAnsi="Times New Roman" w:cs="Times New Roman"/>
                <w:sz w:val="20"/>
                <w:szCs w:val="20"/>
              </w:rPr>
              <w:t>ом</w:t>
            </w:r>
            <w:r w:rsidRPr="002C176E">
              <w:rPr>
                <w:rFonts w:ascii="Times New Roman" w:hAnsi="Times New Roman" w:cs="Times New Roman"/>
                <w:sz w:val="20"/>
                <w:szCs w:val="20"/>
              </w:rPr>
              <w:t xml:space="preserve"> жилищно-коммунального комплекса и энергетики автономного округа</w:t>
            </w:r>
            <w:r w:rsidR="007F47C6">
              <w:rPr>
                <w:rFonts w:ascii="Times New Roman" w:hAnsi="Times New Roman" w:cs="Times New Roman"/>
                <w:sz w:val="20"/>
                <w:szCs w:val="20"/>
              </w:rPr>
              <w:t xml:space="preserve"> - 1 соглашение;</w:t>
            </w:r>
          </w:p>
          <w:p w:rsidR="002C176E" w:rsidRDefault="007F47C6" w:rsidP="00F316C7">
            <w:pPr>
              <w:ind w:firstLine="459"/>
              <w:jc w:val="both"/>
              <w:rPr>
                <w:rFonts w:ascii="Times New Roman" w:hAnsi="Times New Roman" w:cs="Times New Roman"/>
                <w:sz w:val="20"/>
                <w:szCs w:val="20"/>
              </w:rPr>
            </w:pPr>
            <w:r>
              <w:rPr>
                <w:rFonts w:ascii="Times New Roman" w:hAnsi="Times New Roman" w:cs="Times New Roman"/>
                <w:sz w:val="20"/>
                <w:szCs w:val="20"/>
              </w:rPr>
              <w:t>-</w:t>
            </w:r>
            <w:r w:rsidR="005B49F1">
              <w:rPr>
                <w:rFonts w:ascii="Times New Roman" w:hAnsi="Times New Roman" w:cs="Times New Roman"/>
                <w:sz w:val="20"/>
                <w:szCs w:val="20"/>
              </w:rPr>
              <w:t xml:space="preserve"> </w:t>
            </w:r>
            <w:r w:rsidR="005B49F1" w:rsidRPr="002C176E">
              <w:rPr>
                <w:rFonts w:ascii="Times New Roman" w:hAnsi="Times New Roman" w:cs="Times New Roman"/>
                <w:sz w:val="20"/>
                <w:szCs w:val="20"/>
              </w:rPr>
              <w:t>Департамент</w:t>
            </w:r>
            <w:r w:rsidR="005B49F1">
              <w:rPr>
                <w:rFonts w:ascii="Times New Roman" w:hAnsi="Times New Roman" w:cs="Times New Roman"/>
                <w:sz w:val="20"/>
                <w:szCs w:val="20"/>
              </w:rPr>
              <w:t>ом</w:t>
            </w:r>
            <w:r w:rsidR="005B49F1" w:rsidRPr="002C176E">
              <w:rPr>
                <w:rFonts w:ascii="Times New Roman" w:hAnsi="Times New Roman" w:cs="Times New Roman"/>
                <w:sz w:val="20"/>
                <w:szCs w:val="20"/>
              </w:rPr>
              <w:t xml:space="preserve"> строительств</w:t>
            </w:r>
            <w:r w:rsidR="005B49F1">
              <w:rPr>
                <w:rFonts w:ascii="Times New Roman" w:hAnsi="Times New Roman" w:cs="Times New Roman"/>
                <w:sz w:val="20"/>
                <w:szCs w:val="20"/>
              </w:rPr>
              <w:t>а</w:t>
            </w:r>
            <w:r w:rsidR="005B49F1" w:rsidRPr="002C176E">
              <w:rPr>
                <w:rFonts w:ascii="Times New Roman" w:hAnsi="Times New Roman" w:cs="Times New Roman"/>
                <w:sz w:val="20"/>
                <w:szCs w:val="20"/>
              </w:rPr>
              <w:t xml:space="preserve"> автономного округа </w:t>
            </w:r>
            <w:r w:rsidR="002C176E">
              <w:rPr>
                <w:rFonts w:ascii="Times New Roman" w:hAnsi="Times New Roman" w:cs="Times New Roman"/>
                <w:sz w:val="20"/>
                <w:szCs w:val="20"/>
              </w:rPr>
              <w:t xml:space="preserve">– </w:t>
            </w:r>
            <w:r>
              <w:rPr>
                <w:rFonts w:ascii="Times New Roman" w:hAnsi="Times New Roman" w:cs="Times New Roman"/>
                <w:sz w:val="20"/>
                <w:szCs w:val="20"/>
              </w:rPr>
              <w:t>8</w:t>
            </w:r>
            <w:r w:rsidR="002C176E">
              <w:rPr>
                <w:rFonts w:ascii="Times New Roman" w:hAnsi="Times New Roman" w:cs="Times New Roman"/>
                <w:sz w:val="20"/>
                <w:szCs w:val="20"/>
              </w:rPr>
              <w:t xml:space="preserve"> соглашени</w:t>
            </w:r>
            <w:r>
              <w:rPr>
                <w:rFonts w:ascii="Times New Roman" w:hAnsi="Times New Roman" w:cs="Times New Roman"/>
                <w:sz w:val="20"/>
                <w:szCs w:val="20"/>
              </w:rPr>
              <w:t>й;</w:t>
            </w:r>
          </w:p>
          <w:p w:rsidR="007F47C6" w:rsidRDefault="007F47C6" w:rsidP="00F316C7">
            <w:pPr>
              <w:ind w:firstLine="459"/>
              <w:jc w:val="both"/>
              <w:rPr>
                <w:rFonts w:ascii="Times New Roman" w:hAnsi="Times New Roman" w:cs="Times New Roman"/>
                <w:sz w:val="20"/>
                <w:szCs w:val="20"/>
              </w:rPr>
            </w:pPr>
            <w:r>
              <w:rPr>
                <w:rFonts w:ascii="Times New Roman" w:hAnsi="Times New Roman" w:cs="Times New Roman"/>
                <w:sz w:val="20"/>
                <w:szCs w:val="20"/>
              </w:rPr>
              <w:t>- Департаментом культуры автономного округа – 4 соглашения;</w:t>
            </w:r>
          </w:p>
          <w:p w:rsidR="007F47C6" w:rsidRDefault="007F47C6" w:rsidP="00F316C7">
            <w:pPr>
              <w:ind w:firstLine="459"/>
              <w:jc w:val="both"/>
              <w:rPr>
                <w:rFonts w:ascii="Times New Roman" w:hAnsi="Times New Roman" w:cs="Times New Roman"/>
                <w:sz w:val="20"/>
                <w:szCs w:val="20"/>
              </w:rPr>
            </w:pPr>
            <w:r>
              <w:rPr>
                <w:rFonts w:ascii="Times New Roman" w:hAnsi="Times New Roman" w:cs="Times New Roman"/>
                <w:sz w:val="20"/>
                <w:szCs w:val="20"/>
              </w:rPr>
              <w:t>- Департаментом физической культуры и спорта – 9 соглашений.</w:t>
            </w:r>
          </w:p>
          <w:p w:rsidR="008B18FA" w:rsidRPr="00CD3929" w:rsidRDefault="00191B40" w:rsidP="00ED53B2">
            <w:pPr>
              <w:ind w:firstLine="459"/>
              <w:jc w:val="both"/>
              <w:rPr>
                <w:rFonts w:ascii="Times New Roman" w:hAnsi="Times New Roman" w:cs="Times New Roman"/>
                <w:sz w:val="20"/>
                <w:szCs w:val="20"/>
              </w:rPr>
            </w:pPr>
            <w:r>
              <w:rPr>
                <w:rFonts w:ascii="Times New Roman" w:hAnsi="Times New Roman" w:cs="Times New Roman"/>
                <w:sz w:val="20"/>
                <w:szCs w:val="20"/>
              </w:rPr>
              <w:t>Причинами несоблюдения сроков заключения соглашени</w:t>
            </w:r>
            <w:r w:rsidR="00B2086C">
              <w:rPr>
                <w:rFonts w:ascii="Times New Roman" w:hAnsi="Times New Roman" w:cs="Times New Roman"/>
                <w:sz w:val="20"/>
                <w:szCs w:val="20"/>
              </w:rPr>
              <w:t>й</w:t>
            </w:r>
            <w:r>
              <w:rPr>
                <w:rFonts w:ascii="Times New Roman" w:hAnsi="Times New Roman" w:cs="Times New Roman"/>
                <w:sz w:val="20"/>
                <w:szCs w:val="20"/>
              </w:rPr>
              <w:t xml:space="preserve"> </w:t>
            </w:r>
            <w:r w:rsidR="00046CE8">
              <w:rPr>
                <w:rFonts w:ascii="Times New Roman" w:hAnsi="Times New Roman" w:cs="Times New Roman"/>
                <w:sz w:val="20"/>
                <w:szCs w:val="20"/>
              </w:rPr>
              <w:t xml:space="preserve">по информации главных распорядителей средств бюджета автономного округа </w:t>
            </w:r>
            <w:r>
              <w:rPr>
                <w:rFonts w:ascii="Times New Roman" w:hAnsi="Times New Roman" w:cs="Times New Roman"/>
                <w:sz w:val="20"/>
                <w:szCs w:val="20"/>
              </w:rPr>
              <w:t xml:space="preserve">являются </w:t>
            </w:r>
            <w:r w:rsidR="00046CE8">
              <w:rPr>
                <w:rFonts w:ascii="Times New Roman" w:hAnsi="Times New Roman" w:cs="Times New Roman"/>
                <w:sz w:val="20"/>
                <w:szCs w:val="20"/>
              </w:rPr>
              <w:t xml:space="preserve">несвоевременное формирование шаблонов Минфином России, некорректная работа </w:t>
            </w:r>
            <w:r w:rsidRPr="00191B40">
              <w:rPr>
                <w:rFonts w:ascii="Times New Roman" w:hAnsi="Times New Roman" w:cs="Times New Roman"/>
                <w:sz w:val="20"/>
                <w:szCs w:val="20"/>
              </w:rPr>
              <w:t>государственной интегр</w:t>
            </w:r>
            <w:r w:rsidR="00B2086C">
              <w:rPr>
                <w:rFonts w:ascii="Times New Roman" w:hAnsi="Times New Roman" w:cs="Times New Roman"/>
                <w:sz w:val="20"/>
                <w:szCs w:val="20"/>
              </w:rPr>
              <w:t>ированной информационной системы</w:t>
            </w:r>
            <w:r w:rsidRPr="00191B40">
              <w:rPr>
                <w:rFonts w:ascii="Times New Roman" w:hAnsi="Times New Roman" w:cs="Times New Roman"/>
                <w:sz w:val="20"/>
                <w:szCs w:val="20"/>
              </w:rPr>
              <w:t xml:space="preserve"> управления общественными финансами «Электронный бюджет»</w:t>
            </w:r>
            <w:r w:rsidR="00B2086C">
              <w:rPr>
                <w:rFonts w:ascii="Times New Roman" w:hAnsi="Times New Roman" w:cs="Times New Roman"/>
                <w:sz w:val="20"/>
                <w:szCs w:val="20"/>
              </w:rPr>
              <w:t>, длительное согласование органами местного самоуправления автономного округа.</w:t>
            </w:r>
          </w:p>
        </w:tc>
      </w:tr>
      <w:tr w:rsidR="00406E3A" w:rsidTr="002D66BA">
        <w:tc>
          <w:tcPr>
            <w:tcW w:w="1485" w:type="dxa"/>
            <w:tcBorders>
              <w:top w:val="nil"/>
              <w:bottom w:val="single" w:sz="4" w:space="0" w:color="auto"/>
            </w:tcBorders>
          </w:tcPr>
          <w:p w:rsidR="00406E3A" w:rsidRDefault="00406E3A" w:rsidP="00BD63B0">
            <w:pPr>
              <w:jc w:val="center"/>
              <w:rPr>
                <w:rFonts w:ascii="Times New Roman" w:hAnsi="Times New Roman" w:cs="Times New Roman"/>
                <w:sz w:val="20"/>
                <w:szCs w:val="20"/>
              </w:rPr>
            </w:pPr>
          </w:p>
          <w:p w:rsidR="002D66BA" w:rsidRDefault="002D66BA" w:rsidP="00BD63B0">
            <w:pPr>
              <w:jc w:val="center"/>
              <w:rPr>
                <w:rFonts w:ascii="Times New Roman" w:hAnsi="Times New Roman" w:cs="Times New Roman"/>
                <w:sz w:val="20"/>
                <w:szCs w:val="20"/>
              </w:rPr>
            </w:pPr>
          </w:p>
          <w:p w:rsidR="002D66BA" w:rsidRDefault="002D66BA" w:rsidP="00BD63B0">
            <w:pPr>
              <w:jc w:val="center"/>
              <w:rPr>
                <w:rFonts w:ascii="Times New Roman" w:hAnsi="Times New Roman" w:cs="Times New Roman"/>
                <w:sz w:val="20"/>
                <w:szCs w:val="20"/>
              </w:rPr>
            </w:pPr>
          </w:p>
          <w:p w:rsidR="002D66BA" w:rsidRDefault="002D66BA" w:rsidP="00BD63B0">
            <w:pPr>
              <w:jc w:val="center"/>
              <w:rPr>
                <w:rFonts w:ascii="Times New Roman" w:hAnsi="Times New Roman" w:cs="Times New Roman"/>
                <w:sz w:val="20"/>
                <w:szCs w:val="20"/>
              </w:rPr>
            </w:pPr>
          </w:p>
          <w:p w:rsidR="002D66BA" w:rsidRPr="001D0F88" w:rsidRDefault="002D66BA" w:rsidP="00BD63B0">
            <w:pPr>
              <w:jc w:val="center"/>
              <w:rPr>
                <w:rFonts w:ascii="Times New Roman" w:hAnsi="Times New Roman" w:cs="Times New Roman"/>
                <w:sz w:val="20"/>
                <w:szCs w:val="20"/>
              </w:rPr>
            </w:pPr>
          </w:p>
        </w:tc>
        <w:tc>
          <w:tcPr>
            <w:tcW w:w="7128" w:type="dxa"/>
          </w:tcPr>
          <w:p w:rsidR="00406E3A" w:rsidRDefault="00406E3A"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к) </w:t>
            </w:r>
            <w:r w:rsidR="00210CD8" w:rsidRPr="00210CD8">
              <w:rPr>
                <w:rFonts w:ascii="Times New Roman" w:hAnsi="Times New Roman" w:cs="Times New Roman"/>
                <w:sz w:val="20"/>
                <w:szCs w:val="20"/>
              </w:rPr>
              <w:t>соблюдение условий и достижение целевых показателей, предусмотренных заключенными соглашениями о предоставлении межбюджетных субсидий, иных межбюджетных трансфертов из федерального бюджета;</w:t>
            </w:r>
          </w:p>
          <w:p w:rsidR="00464E6B" w:rsidRPr="00230DE4" w:rsidRDefault="00464E6B" w:rsidP="00E82A58">
            <w:pPr>
              <w:autoSpaceDE w:val="0"/>
              <w:autoSpaceDN w:val="0"/>
              <w:adjustRightInd w:val="0"/>
              <w:jc w:val="both"/>
              <w:rPr>
                <w:rFonts w:ascii="Times New Roman" w:hAnsi="Times New Roman" w:cs="Times New Roman"/>
                <w:sz w:val="20"/>
                <w:szCs w:val="20"/>
              </w:rPr>
            </w:pPr>
          </w:p>
        </w:tc>
        <w:tc>
          <w:tcPr>
            <w:tcW w:w="6663" w:type="dxa"/>
          </w:tcPr>
          <w:p w:rsidR="00AF3DFC" w:rsidRPr="00AF3DFC" w:rsidRDefault="00AF3DFC" w:rsidP="00AF3DFC">
            <w:pPr>
              <w:autoSpaceDE w:val="0"/>
              <w:autoSpaceDN w:val="0"/>
              <w:adjustRightInd w:val="0"/>
              <w:ind w:firstLine="459"/>
              <w:jc w:val="both"/>
              <w:rPr>
                <w:rFonts w:ascii="Times New Roman" w:hAnsi="Times New Roman" w:cs="Times New Roman"/>
                <w:sz w:val="20"/>
                <w:szCs w:val="20"/>
              </w:rPr>
            </w:pPr>
            <w:r w:rsidRPr="00AF3DFC">
              <w:rPr>
                <w:rFonts w:ascii="Times New Roman" w:hAnsi="Times New Roman" w:cs="Times New Roman"/>
                <w:sz w:val="20"/>
                <w:szCs w:val="20"/>
              </w:rPr>
              <w:t xml:space="preserve">в соответствии с заключенными соглашениями с федеральными </w:t>
            </w:r>
            <w:proofErr w:type="gramStart"/>
            <w:r w:rsidRPr="00AF3DFC">
              <w:rPr>
                <w:rFonts w:ascii="Times New Roman" w:hAnsi="Times New Roman" w:cs="Times New Roman"/>
                <w:sz w:val="20"/>
                <w:szCs w:val="20"/>
              </w:rPr>
              <w:t>ор-</w:t>
            </w:r>
            <w:proofErr w:type="spellStart"/>
            <w:r w:rsidRPr="00AF3DFC">
              <w:rPr>
                <w:rFonts w:ascii="Times New Roman" w:hAnsi="Times New Roman" w:cs="Times New Roman"/>
                <w:sz w:val="20"/>
                <w:szCs w:val="20"/>
              </w:rPr>
              <w:t>ганами</w:t>
            </w:r>
            <w:proofErr w:type="spellEnd"/>
            <w:proofErr w:type="gramEnd"/>
            <w:r w:rsidRPr="00AF3DFC">
              <w:rPr>
                <w:rFonts w:ascii="Times New Roman" w:hAnsi="Times New Roman" w:cs="Times New Roman"/>
                <w:sz w:val="20"/>
                <w:szCs w:val="20"/>
              </w:rPr>
              <w:t xml:space="preserve"> исполнительной власти установлены </w:t>
            </w:r>
            <w:r>
              <w:rPr>
                <w:rFonts w:ascii="Times New Roman" w:hAnsi="Times New Roman" w:cs="Times New Roman"/>
                <w:sz w:val="20"/>
                <w:szCs w:val="20"/>
              </w:rPr>
              <w:t>102</w:t>
            </w:r>
            <w:r w:rsidRPr="00AF3DFC">
              <w:rPr>
                <w:rFonts w:ascii="Times New Roman" w:hAnsi="Times New Roman" w:cs="Times New Roman"/>
                <w:sz w:val="20"/>
                <w:szCs w:val="20"/>
              </w:rPr>
              <w:t xml:space="preserve"> целевых показателя ре-</w:t>
            </w:r>
            <w:proofErr w:type="spellStart"/>
            <w:r w:rsidRPr="00AF3DFC">
              <w:rPr>
                <w:rFonts w:ascii="Times New Roman" w:hAnsi="Times New Roman" w:cs="Times New Roman"/>
                <w:sz w:val="20"/>
                <w:szCs w:val="20"/>
              </w:rPr>
              <w:t>зультативности</w:t>
            </w:r>
            <w:proofErr w:type="spellEnd"/>
            <w:r w:rsidRPr="00AF3DFC">
              <w:rPr>
                <w:rFonts w:ascii="Times New Roman" w:hAnsi="Times New Roman" w:cs="Times New Roman"/>
                <w:sz w:val="20"/>
                <w:szCs w:val="20"/>
              </w:rPr>
              <w:t xml:space="preserve"> использования субсидий</w:t>
            </w:r>
            <w:r>
              <w:rPr>
                <w:rFonts w:ascii="Times New Roman" w:hAnsi="Times New Roman" w:cs="Times New Roman"/>
                <w:sz w:val="20"/>
                <w:szCs w:val="20"/>
              </w:rPr>
              <w:t>, иных межбюджетных трансфертов</w:t>
            </w:r>
            <w:r w:rsidRPr="00AF3DFC">
              <w:rPr>
                <w:rFonts w:ascii="Times New Roman" w:hAnsi="Times New Roman" w:cs="Times New Roman"/>
                <w:sz w:val="20"/>
                <w:szCs w:val="20"/>
              </w:rPr>
              <w:t>, предоставляемых из федерального бюджета, из которых 8</w:t>
            </w:r>
            <w:r w:rsidR="00FB1143" w:rsidRPr="00FB1143">
              <w:rPr>
                <w:rFonts w:ascii="Times New Roman" w:hAnsi="Times New Roman" w:cs="Times New Roman"/>
                <w:sz w:val="20"/>
                <w:szCs w:val="20"/>
              </w:rPr>
              <w:t>8</w:t>
            </w:r>
            <w:r w:rsidRPr="00AF3DFC">
              <w:rPr>
                <w:rFonts w:ascii="Times New Roman" w:hAnsi="Times New Roman" w:cs="Times New Roman"/>
                <w:sz w:val="20"/>
                <w:szCs w:val="20"/>
              </w:rPr>
              <w:t xml:space="preserve"> показател</w:t>
            </w:r>
            <w:r>
              <w:rPr>
                <w:rFonts w:ascii="Times New Roman" w:hAnsi="Times New Roman" w:cs="Times New Roman"/>
                <w:sz w:val="20"/>
                <w:szCs w:val="20"/>
              </w:rPr>
              <w:t>ей</w:t>
            </w:r>
            <w:r w:rsidRPr="00AF3DFC">
              <w:rPr>
                <w:rFonts w:ascii="Times New Roman" w:hAnsi="Times New Roman" w:cs="Times New Roman"/>
                <w:sz w:val="20"/>
                <w:szCs w:val="20"/>
              </w:rPr>
              <w:t xml:space="preserve"> достигнуты, </w:t>
            </w:r>
            <w:r>
              <w:rPr>
                <w:rFonts w:ascii="Times New Roman" w:hAnsi="Times New Roman" w:cs="Times New Roman"/>
                <w:sz w:val="20"/>
                <w:szCs w:val="20"/>
              </w:rPr>
              <w:t>1</w:t>
            </w:r>
            <w:r w:rsidR="00FB1143" w:rsidRPr="00FB1143">
              <w:rPr>
                <w:rFonts w:ascii="Times New Roman" w:hAnsi="Times New Roman" w:cs="Times New Roman"/>
                <w:sz w:val="20"/>
                <w:szCs w:val="20"/>
              </w:rPr>
              <w:t>4</w:t>
            </w:r>
            <w:r w:rsidRPr="00AF3DFC">
              <w:rPr>
                <w:rFonts w:ascii="Times New Roman" w:hAnsi="Times New Roman" w:cs="Times New Roman"/>
                <w:sz w:val="20"/>
                <w:szCs w:val="20"/>
              </w:rPr>
              <w:t xml:space="preserve"> показател</w:t>
            </w:r>
            <w:r>
              <w:rPr>
                <w:rFonts w:ascii="Times New Roman" w:hAnsi="Times New Roman" w:cs="Times New Roman"/>
                <w:sz w:val="20"/>
                <w:szCs w:val="20"/>
              </w:rPr>
              <w:t>ей</w:t>
            </w:r>
            <w:r w:rsidRPr="00AF3DFC">
              <w:rPr>
                <w:rFonts w:ascii="Times New Roman" w:hAnsi="Times New Roman" w:cs="Times New Roman"/>
                <w:sz w:val="20"/>
                <w:szCs w:val="20"/>
              </w:rPr>
              <w:t xml:space="preserve"> не достигнуты.</w:t>
            </w:r>
          </w:p>
          <w:p w:rsidR="00453C73" w:rsidRDefault="00AF3DFC" w:rsidP="00AF3DFC">
            <w:pPr>
              <w:autoSpaceDE w:val="0"/>
              <w:autoSpaceDN w:val="0"/>
              <w:adjustRightInd w:val="0"/>
              <w:ind w:firstLine="459"/>
              <w:jc w:val="both"/>
              <w:rPr>
                <w:rFonts w:ascii="Times New Roman" w:hAnsi="Times New Roman" w:cs="Times New Roman"/>
                <w:sz w:val="20"/>
                <w:szCs w:val="20"/>
              </w:rPr>
            </w:pPr>
            <w:r w:rsidRPr="00AF3DFC">
              <w:rPr>
                <w:rFonts w:ascii="Times New Roman" w:hAnsi="Times New Roman" w:cs="Times New Roman"/>
                <w:sz w:val="20"/>
                <w:szCs w:val="20"/>
              </w:rPr>
              <w:t xml:space="preserve">Не достигнуты показатели, предусмотренные соглашениями о предоставлении </w:t>
            </w:r>
          </w:p>
          <w:p w:rsidR="00AF3DFC" w:rsidRDefault="00453C73" w:rsidP="00AF3DFC">
            <w:pPr>
              <w:autoSpaceDE w:val="0"/>
              <w:autoSpaceDN w:val="0"/>
              <w:adjustRightInd w:val="0"/>
              <w:ind w:firstLine="459"/>
              <w:jc w:val="both"/>
              <w:rPr>
                <w:rFonts w:ascii="Times New Roman" w:hAnsi="Times New Roman" w:cs="Times New Roman"/>
                <w:sz w:val="20"/>
                <w:szCs w:val="20"/>
              </w:rPr>
            </w:pPr>
            <w:r>
              <w:rPr>
                <w:rFonts w:ascii="Times New Roman" w:hAnsi="Times New Roman" w:cs="Times New Roman"/>
                <w:sz w:val="20"/>
                <w:szCs w:val="20"/>
              </w:rPr>
              <w:t>- с</w:t>
            </w:r>
            <w:r w:rsidR="00AF3DFC" w:rsidRPr="00AF3DFC">
              <w:rPr>
                <w:rFonts w:ascii="Times New Roman" w:hAnsi="Times New Roman" w:cs="Times New Roman"/>
                <w:sz w:val="20"/>
                <w:szCs w:val="20"/>
              </w:rPr>
              <w:t>убсидий</w:t>
            </w:r>
            <w:r>
              <w:rPr>
                <w:rFonts w:ascii="Times New Roman" w:hAnsi="Times New Roman" w:cs="Times New Roman"/>
                <w:sz w:val="20"/>
                <w:szCs w:val="20"/>
              </w:rPr>
              <w:t xml:space="preserve"> на</w:t>
            </w:r>
            <w:r w:rsidR="00AF3DFC" w:rsidRPr="00AF3DFC">
              <w:rPr>
                <w:rFonts w:ascii="Times New Roman" w:hAnsi="Times New Roman" w:cs="Times New Roman"/>
                <w:sz w:val="20"/>
                <w:szCs w:val="20"/>
              </w:rPr>
              <w:t>:</w:t>
            </w:r>
          </w:p>
          <w:p w:rsidR="00453C73" w:rsidRDefault="00453C73" w:rsidP="00AF3DFC">
            <w:pPr>
              <w:autoSpaceDE w:val="0"/>
              <w:autoSpaceDN w:val="0"/>
              <w:adjustRightInd w:val="0"/>
              <w:ind w:firstLine="459"/>
              <w:jc w:val="both"/>
              <w:rPr>
                <w:rFonts w:ascii="Times New Roman" w:hAnsi="Times New Roman" w:cs="Times New Roman"/>
                <w:sz w:val="20"/>
                <w:szCs w:val="20"/>
              </w:rPr>
            </w:pPr>
            <w:r w:rsidRPr="00453C73">
              <w:rPr>
                <w:rFonts w:ascii="Times New Roman" w:hAnsi="Times New Roman" w:cs="Times New Roman"/>
                <w:sz w:val="20"/>
                <w:szCs w:val="20"/>
              </w:rPr>
              <w:t>поддержку экономического и социального развития коренных малочисленных народов Севера, Сибири и Дальнего Востока</w:t>
            </w:r>
            <w:r w:rsidR="00FF3C1F">
              <w:rPr>
                <w:rFonts w:ascii="Times New Roman" w:hAnsi="Times New Roman" w:cs="Times New Roman"/>
                <w:sz w:val="20"/>
                <w:szCs w:val="20"/>
              </w:rPr>
              <w:t xml:space="preserve">, </w:t>
            </w:r>
            <w:r w:rsidR="00FF3C1F" w:rsidRPr="00FF3C1F">
              <w:rPr>
                <w:rFonts w:ascii="Times New Roman" w:hAnsi="Times New Roman" w:cs="Times New Roman"/>
                <w:sz w:val="20"/>
                <w:szCs w:val="20"/>
              </w:rPr>
              <w:t>реализацию мероприятий по предупреждению и борьбе с социально значимыми инфекционными заболеваниями</w:t>
            </w:r>
            <w:r>
              <w:rPr>
                <w:rFonts w:ascii="Times New Roman" w:hAnsi="Times New Roman" w:cs="Times New Roman"/>
                <w:sz w:val="20"/>
                <w:szCs w:val="20"/>
              </w:rPr>
              <w:t xml:space="preserve"> по причине </w:t>
            </w:r>
            <w:r w:rsidRPr="00453C73">
              <w:rPr>
                <w:rFonts w:ascii="Times New Roman" w:hAnsi="Times New Roman" w:cs="Times New Roman"/>
                <w:sz w:val="20"/>
                <w:szCs w:val="20"/>
              </w:rPr>
              <w:t>введенны</w:t>
            </w:r>
            <w:r>
              <w:rPr>
                <w:rFonts w:ascii="Times New Roman" w:hAnsi="Times New Roman" w:cs="Times New Roman"/>
                <w:sz w:val="20"/>
                <w:szCs w:val="20"/>
              </w:rPr>
              <w:t>х</w:t>
            </w:r>
            <w:r w:rsidRPr="00453C73">
              <w:rPr>
                <w:rFonts w:ascii="Times New Roman" w:hAnsi="Times New Roman" w:cs="Times New Roman"/>
                <w:sz w:val="20"/>
                <w:szCs w:val="20"/>
              </w:rPr>
              <w:t xml:space="preserve"> ограничени</w:t>
            </w:r>
            <w:r>
              <w:rPr>
                <w:rFonts w:ascii="Times New Roman" w:hAnsi="Times New Roman" w:cs="Times New Roman"/>
                <w:sz w:val="20"/>
                <w:szCs w:val="20"/>
              </w:rPr>
              <w:t xml:space="preserve">й из-за </w:t>
            </w:r>
            <w:r w:rsidRPr="00453C73">
              <w:rPr>
                <w:rFonts w:ascii="Times New Roman" w:hAnsi="Times New Roman" w:cs="Times New Roman"/>
                <w:sz w:val="20"/>
                <w:szCs w:val="20"/>
              </w:rPr>
              <w:t>распространени</w:t>
            </w:r>
            <w:r>
              <w:rPr>
                <w:rFonts w:ascii="Times New Roman" w:hAnsi="Times New Roman" w:cs="Times New Roman"/>
                <w:sz w:val="20"/>
                <w:szCs w:val="20"/>
              </w:rPr>
              <w:t xml:space="preserve">я новой </w:t>
            </w:r>
            <w:proofErr w:type="spellStart"/>
            <w:r>
              <w:rPr>
                <w:rFonts w:ascii="Times New Roman" w:hAnsi="Times New Roman" w:cs="Times New Roman"/>
                <w:sz w:val="20"/>
                <w:szCs w:val="20"/>
              </w:rPr>
              <w:t>коронавирусной</w:t>
            </w:r>
            <w:proofErr w:type="spellEnd"/>
            <w:r>
              <w:rPr>
                <w:rFonts w:ascii="Times New Roman" w:hAnsi="Times New Roman" w:cs="Times New Roman"/>
                <w:sz w:val="20"/>
                <w:szCs w:val="20"/>
              </w:rPr>
              <w:t xml:space="preserve"> инфекции</w:t>
            </w:r>
            <w:r w:rsidRPr="00453C73">
              <w:rPr>
                <w:rFonts w:ascii="Times New Roman" w:hAnsi="Times New Roman" w:cs="Times New Roman"/>
                <w:sz w:val="20"/>
                <w:szCs w:val="20"/>
              </w:rPr>
              <w:t xml:space="preserve"> COVID-19</w:t>
            </w:r>
            <w:r>
              <w:rPr>
                <w:rFonts w:ascii="Times New Roman" w:hAnsi="Times New Roman" w:cs="Times New Roman"/>
                <w:sz w:val="20"/>
                <w:szCs w:val="20"/>
              </w:rPr>
              <w:t>;</w:t>
            </w:r>
          </w:p>
          <w:p w:rsidR="00453C73" w:rsidRDefault="00453C73" w:rsidP="00AF3DFC">
            <w:pPr>
              <w:autoSpaceDE w:val="0"/>
              <w:autoSpaceDN w:val="0"/>
              <w:adjustRightInd w:val="0"/>
              <w:ind w:firstLine="459"/>
              <w:jc w:val="both"/>
              <w:rPr>
                <w:rFonts w:ascii="Times New Roman" w:hAnsi="Times New Roman" w:cs="Times New Roman"/>
                <w:sz w:val="20"/>
                <w:szCs w:val="20"/>
              </w:rPr>
            </w:pPr>
            <w:r w:rsidRPr="00453C73">
              <w:rPr>
                <w:rFonts w:ascii="Times New Roman" w:hAnsi="Times New Roman" w:cs="Times New Roman"/>
                <w:sz w:val="20"/>
                <w:szCs w:val="20"/>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r w:rsidR="005B3CBD">
              <w:rPr>
                <w:rFonts w:ascii="Times New Roman" w:hAnsi="Times New Roman" w:cs="Times New Roman"/>
                <w:sz w:val="20"/>
                <w:szCs w:val="20"/>
              </w:rPr>
              <w:t xml:space="preserve"> из-за </w:t>
            </w:r>
            <w:r w:rsidR="005B3CBD" w:rsidRPr="005B3CBD">
              <w:rPr>
                <w:rFonts w:ascii="Times New Roman" w:hAnsi="Times New Roman" w:cs="Times New Roman"/>
                <w:sz w:val="20"/>
                <w:szCs w:val="20"/>
              </w:rPr>
              <w:t>несоответстви</w:t>
            </w:r>
            <w:r w:rsidR="005B3CBD">
              <w:rPr>
                <w:rFonts w:ascii="Times New Roman" w:hAnsi="Times New Roman" w:cs="Times New Roman"/>
                <w:sz w:val="20"/>
                <w:szCs w:val="20"/>
              </w:rPr>
              <w:t>я</w:t>
            </w:r>
            <w:r w:rsidR="005B3CBD" w:rsidRPr="005B3CBD">
              <w:rPr>
                <w:rFonts w:ascii="Times New Roman" w:hAnsi="Times New Roman" w:cs="Times New Roman"/>
                <w:sz w:val="20"/>
                <w:szCs w:val="20"/>
              </w:rPr>
              <w:t xml:space="preserve"> кандидатов заключивших трудовые договоры </w:t>
            </w:r>
            <w:r w:rsidR="005B3CBD">
              <w:rPr>
                <w:rFonts w:ascii="Times New Roman" w:hAnsi="Times New Roman" w:cs="Times New Roman"/>
                <w:sz w:val="20"/>
                <w:szCs w:val="20"/>
              </w:rPr>
              <w:t>на замещение</w:t>
            </w:r>
            <w:r w:rsidR="005B3CBD" w:rsidRPr="005B3CBD">
              <w:rPr>
                <w:rFonts w:ascii="Times New Roman" w:hAnsi="Times New Roman" w:cs="Times New Roman"/>
                <w:sz w:val="20"/>
                <w:szCs w:val="20"/>
              </w:rPr>
              <w:t xml:space="preserve"> вакантных должностей мед</w:t>
            </w:r>
            <w:r w:rsidR="005B3CBD">
              <w:rPr>
                <w:rFonts w:ascii="Times New Roman" w:hAnsi="Times New Roman" w:cs="Times New Roman"/>
                <w:sz w:val="20"/>
                <w:szCs w:val="20"/>
              </w:rPr>
              <w:t>р</w:t>
            </w:r>
            <w:r w:rsidR="005B3CBD" w:rsidRPr="005B3CBD">
              <w:rPr>
                <w:rFonts w:ascii="Times New Roman" w:hAnsi="Times New Roman" w:cs="Times New Roman"/>
                <w:sz w:val="20"/>
                <w:szCs w:val="20"/>
              </w:rPr>
              <w:t>аботников критериям для получения единовременных компенсационных выплат программы «Земский доктор», «Земский фельдшер»</w:t>
            </w:r>
            <w:r w:rsidR="008D287D">
              <w:rPr>
                <w:rFonts w:ascii="Times New Roman" w:hAnsi="Times New Roman" w:cs="Times New Roman"/>
                <w:sz w:val="20"/>
                <w:szCs w:val="20"/>
              </w:rPr>
              <w:t>;</w:t>
            </w:r>
          </w:p>
          <w:p w:rsidR="00B2086C" w:rsidRPr="00255150" w:rsidRDefault="008D287D" w:rsidP="002D66BA">
            <w:pPr>
              <w:autoSpaceDE w:val="0"/>
              <w:autoSpaceDN w:val="0"/>
              <w:adjustRightInd w:val="0"/>
              <w:ind w:firstLine="459"/>
              <w:jc w:val="both"/>
              <w:rPr>
                <w:rFonts w:ascii="Times New Roman" w:hAnsi="Times New Roman" w:cs="Times New Roman"/>
                <w:sz w:val="20"/>
                <w:szCs w:val="20"/>
              </w:rPr>
            </w:pPr>
            <w:r w:rsidRPr="008D287D">
              <w:rPr>
                <w:rFonts w:ascii="Times New Roman" w:hAnsi="Times New Roman" w:cs="Times New Roman"/>
                <w:sz w:val="20"/>
                <w:szCs w:val="20"/>
              </w:rPr>
              <w:lastRenderedPageBreak/>
              <w:t>софинансировани</w:t>
            </w:r>
            <w:r w:rsidR="00D27C01">
              <w:rPr>
                <w:rFonts w:ascii="Times New Roman" w:hAnsi="Times New Roman" w:cs="Times New Roman"/>
                <w:sz w:val="20"/>
                <w:szCs w:val="20"/>
              </w:rPr>
              <w:t>е</w:t>
            </w:r>
            <w:r w:rsidRPr="008D287D">
              <w:rPr>
                <w:rFonts w:ascii="Times New Roman" w:hAnsi="Times New Roman" w:cs="Times New Roman"/>
                <w:sz w:val="20"/>
                <w:szCs w:val="20"/>
              </w:rPr>
              <w:t xml:space="preserve"> расходных обязательств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w:t>
            </w:r>
          </w:p>
        </w:tc>
      </w:tr>
      <w:tr w:rsidR="00255150" w:rsidTr="002D66BA">
        <w:tc>
          <w:tcPr>
            <w:tcW w:w="1485" w:type="dxa"/>
            <w:tcBorders>
              <w:top w:val="single" w:sz="4" w:space="0" w:color="auto"/>
              <w:bottom w:val="nil"/>
            </w:tcBorders>
          </w:tcPr>
          <w:p w:rsidR="00255150" w:rsidRDefault="00255150" w:rsidP="00BD63B0">
            <w:pPr>
              <w:jc w:val="center"/>
              <w:rPr>
                <w:rFonts w:ascii="Times New Roman" w:hAnsi="Times New Roman" w:cs="Times New Roman"/>
                <w:sz w:val="20"/>
                <w:szCs w:val="20"/>
              </w:rPr>
            </w:pPr>
          </w:p>
        </w:tc>
        <w:tc>
          <w:tcPr>
            <w:tcW w:w="7128" w:type="dxa"/>
          </w:tcPr>
          <w:p w:rsidR="00255150" w:rsidRDefault="00255150" w:rsidP="00356494">
            <w:pPr>
              <w:pStyle w:val="ConsPlusNormal"/>
              <w:jc w:val="both"/>
            </w:pPr>
          </w:p>
        </w:tc>
        <w:tc>
          <w:tcPr>
            <w:tcW w:w="6663" w:type="dxa"/>
          </w:tcPr>
          <w:p w:rsidR="002D66BA" w:rsidRDefault="002D66BA" w:rsidP="00683338">
            <w:pPr>
              <w:autoSpaceDE w:val="0"/>
              <w:autoSpaceDN w:val="0"/>
              <w:adjustRightInd w:val="0"/>
              <w:jc w:val="both"/>
              <w:rPr>
                <w:rFonts w:ascii="Times New Roman" w:hAnsi="Times New Roman" w:cs="Times New Roman"/>
                <w:sz w:val="20"/>
                <w:szCs w:val="20"/>
              </w:rPr>
            </w:pPr>
            <w:r w:rsidRPr="008D287D">
              <w:rPr>
                <w:rFonts w:ascii="Times New Roman" w:hAnsi="Times New Roman" w:cs="Times New Roman"/>
                <w:sz w:val="20"/>
                <w:szCs w:val="20"/>
              </w:rPr>
              <w:t xml:space="preserve">программу обязательного медицинского страхования, </w:t>
            </w:r>
            <w:r w:rsidRPr="00464E6B">
              <w:rPr>
                <w:rFonts w:ascii="Times New Roman" w:hAnsi="Times New Roman" w:cs="Times New Roman"/>
                <w:sz w:val="20"/>
                <w:szCs w:val="20"/>
              </w:rPr>
              <w:t xml:space="preserve">по причине перепрофилирования коечного фонда медицинских организаций для оказания медицинской помощи больным с новой </w:t>
            </w:r>
            <w:proofErr w:type="spellStart"/>
            <w:r w:rsidRPr="00464E6B">
              <w:rPr>
                <w:rFonts w:ascii="Times New Roman" w:hAnsi="Times New Roman" w:cs="Times New Roman"/>
                <w:sz w:val="20"/>
                <w:szCs w:val="20"/>
              </w:rPr>
              <w:t>коронавирусной</w:t>
            </w:r>
            <w:proofErr w:type="spellEnd"/>
            <w:r w:rsidRPr="00464E6B">
              <w:rPr>
                <w:rFonts w:ascii="Times New Roman" w:hAnsi="Times New Roman" w:cs="Times New Roman"/>
                <w:sz w:val="20"/>
                <w:szCs w:val="20"/>
              </w:rPr>
              <w:t xml:space="preserve"> инфекции COVID-19</w:t>
            </w:r>
            <w:r>
              <w:rPr>
                <w:rFonts w:ascii="Times New Roman" w:hAnsi="Times New Roman" w:cs="Times New Roman"/>
                <w:sz w:val="20"/>
                <w:szCs w:val="20"/>
              </w:rPr>
              <w:t>;</w:t>
            </w:r>
          </w:p>
          <w:p w:rsidR="002D66BA" w:rsidRDefault="002D66BA" w:rsidP="002D66BA">
            <w:pPr>
              <w:autoSpaceDE w:val="0"/>
              <w:autoSpaceDN w:val="0"/>
              <w:adjustRightInd w:val="0"/>
              <w:ind w:firstLine="459"/>
              <w:jc w:val="both"/>
              <w:rPr>
                <w:rFonts w:ascii="Times New Roman" w:hAnsi="Times New Roman" w:cs="Times New Roman"/>
                <w:sz w:val="20"/>
                <w:szCs w:val="20"/>
              </w:rPr>
            </w:pPr>
            <w:r w:rsidRPr="00B2086C">
              <w:rPr>
                <w:rFonts w:ascii="Times New Roman" w:hAnsi="Times New Roman" w:cs="Times New Roman"/>
                <w:sz w:val="20"/>
                <w:szCs w:val="20"/>
              </w:rPr>
              <w:t xml:space="preserve">государственную поддержку лучших сельских учреждений культуры, лучших работников сельских учреждений культуры,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поддержку творческой деятельности и техническое оснащение детских и кукольных театров из-за приостановления деятельности развлекательных и досуговых заведений из-за распространения новой </w:t>
            </w:r>
            <w:proofErr w:type="spellStart"/>
            <w:r w:rsidRPr="00B2086C">
              <w:rPr>
                <w:rFonts w:ascii="Times New Roman" w:hAnsi="Times New Roman" w:cs="Times New Roman"/>
                <w:sz w:val="20"/>
                <w:szCs w:val="20"/>
              </w:rPr>
              <w:t>коронавирусной</w:t>
            </w:r>
            <w:proofErr w:type="spellEnd"/>
            <w:r w:rsidRPr="00B2086C">
              <w:rPr>
                <w:rFonts w:ascii="Times New Roman" w:hAnsi="Times New Roman" w:cs="Times New Roman"/>
                <w:sz w:val="20"/>
                <w:szCs w:val="20"/>
              </w:rPr>
              <w:t xml:space="preserve"> инфекции COVID-19;</w:t>
            </w:r>
          </w:p>
          <w:p w:rsidR="00255150" w:rsidRDefault="00255150" w:rsidP="00255150">
            <w:pPr>
              <w:autoSpaceDE w:val="0"/>
              <w:autoSpaceDN w:val="0"/>
              <w:adjustRightInd w:val="0"/>
              <w:ind w:firstLine="459"/>
              <w:jc w:val="both"/>
              <w:rPr>
                <w:rFonts w:ascii="Times New Roman" w:hAnsi="Times New Roman" w:cs="Times New Roman"/>
                <w:sz w:val="20"/>
                <w:szCs w:val="20"/>
              </w:rPr>
            </w:pPr>
            <w:r w:rsidRPr="00255150">
              <w:rPr>
                <w:rFonts w:ascii="Times New Roman" w:hAnsi="Times New Roman" w:cs="Times New Roman"/>
                <w:sz w:val="20"/>
                <w:szCs w:val="20"/>
              </w:rPr>
              <w:t>государственную поддержку малого и среднего предпринимательства в субъекте Российской Федерации</w:t>
            </w:r>
            <w:r>
              <w:rPr>
                <w:rFonts w:ascii="Times New Roman" w:hAnsi="Times New Roman" w:cs="Times New Roman"/>
                <w:sz w:val="20"/>
                <w:szCs w:val="20"/>
              </w:rPr>
              <w:t xml:space="preserve"> по причине с</w:t>
            </w:r>
            <w:r w:rsidRPr="00255150">
              <w:rPr>
                <w:rFonts w:ascii="Times New Roman" w:hAnsi="Times New Roman" w:cs="Times New Roman"/>
                <w:sz w:val="20"/>
                <w:szCs w:val="20"/>
              </w:rPr>
              <w:t>нижени</w:t>
            </w:r>
            <w:r>
              <w:rPr>
                <w:rFonts w:ascii="Times New Roman" w:hAnsi="Times New Roman" w:cs="Times New Roman"/>
                <w:sz w:val="20"/>
                <w:szCs w:val="20"/>
              </w:rPr>
              <w:t>я</w:t>
            </w:r>
            <w:r w:rsidRPr="00255150">
              <w:rPr>
                <w:rFonts w:ascii="Times New Roman" w:hAnsi="Times New Roman" w:cs="Times New Roman"/>
                <w:sz w:val="20"/>
                <w:szCs w:val="20"/>
              </w:rPr>
              <w:t xml:space="preserve"> кредитной активности субъектов малого и среднего предпринимательства</w:t>
            </w:r>
            <w:r>
              <w:rPr>
                <w:rFonts w:ascii="Times New Roman" w:hAnsi="Times New Roman" w:cs="Times New Roman"/>
                <w:sz w:val="20"/>
                <w:szCs w:val="20"/>
              </w:rPr>
              <w:t xml:space="preserve">, а также </w:t>
            </w:r>
            <w:r w:rsidRPr="00255150">
              <w:rPr>
                <w:rFonts w:ascii="Times New Roman" w:hAnsi="Times New Roman" w:cs="Times New Roman"/>
                <w:sz w:val="20"/>
                <w:szCs w:val="20"/>
              </w:rPr>
              <w:t>в связи</w:t>
            </w:r>
            <w:r w:rsidR="002876D3">
              <w:rPr>
                <w:rFonts w:ascii="Times New Roman" w:hAnsi="Times New Roman" w:cs="Times New Roman"/>
                <w:sz w:val="20"/>
                <w:szCs w:val="20"/>
              </w:rPr>
              <w:t xml:space="preserve"> с отсутствием аккредитации АО «Корпорация «МСП», что</w:t>
            </w:r>
            <w:r w:rsidRPr="00255150">
              <w:rPr>
                <w:rFonts w:ascii="Times New Roman" w:hAnsi="Times New Roman" w:cs="Times New Roman"/>
                <w:sz w:val="20"/>
                <w:szCs w:val="20"/>
              </w:rPr>
              <w:t xml:space="preserve"> н</w:t>
            </w:r>
            <w:r w:rsidR="002876D3">
              <w:rPr>
                <w:rFonts w:ascii="Times New Roman" w:hAnsi="Times New Roman" w:cs="Times New Roman"/>
                <w:sz w:val="20"/>
                <w:szCs w:val="20"/>
              </w:rPr>
              <w:t>е</w:t>
            </w:r>
            <w:r w:rsidRPr="00255150">
              <w:rPr>
                <w:rFonts w:ascii="Times New Roman" w:hAnsi="Times New Roman" w:cs="Times New Roman"/>
                <w:sz w:val="20"/>
                <w:szCs w:val="20"/>
              </w:rPr>
              <w:t xml:space="preserve"> позволило реализовать в 2020 го</w:t>
            </w:r>
            <w:r w:rsidR="002876D3">
              <w:rPr>
                <w:rFonts w:ascii="Times New Roman" w:hAnsi="Times New Roman" w:cs="Times New Roman"/>
                <w:sz w:val="20"/>
                <w:szCs w:val="20"/>
              </w:rPr>
              <w:t>ду кредитные сделки с ПАО Банк «</w:t>
            </w:r>
            <w:proofErr w:type="gramStart"/>
            <w:r w:rsidR="002876D3">
              <w:rPr>
                <w:rFonts w:ascii="Times New Roman" w:hAnsi="Times New Roman" w:cs="Times New Roman"/>
                <w:sz w:val="20"/>
                <w:szCs w:val="20"/>
              </w:rPr>
              <w:t>ФК  Открытие</w:t>
            </w:r>
            <w:proofErr w:type="gramEnd"/>
            <w:r w:rsidR="002876D3">
              <w:rPr>
                <w:rFonts w:ascii="Times New Roman" w:hAnsi="Times New Roman" w:cs="Times New Roman"/>
                <w:sz w:val="20"/>
                <w:szCs w:val="20"/>
              </w:rPr>
              <w:t>»</w:t>
            </w:r>
            <w:r>
              <w:rPr>
                <w:rFonts w:ascii="Times New Roman" w:hAnsi="Times New Roman" w:cs="Times New Roman"/>
                <w:sz w:val="20"/>
                <w:szCs w:val="20"/>
              </w:rPr>
              <w:t>;</w:t>
            </w:r>
          </w:p>
          <w:p w:rsidR="00884186" w:rsidRDefault="00884186" w:rsidP="00255150">
            <w:pPr>
              <w:autoSpaceDE w:val="0"/>
              <w:autoSpaceDN w:val="0"/>
              <w:adjustRightInd w:val="0"/>
              <w:ind w:firstLine="459"/>
              <w:jc w:val="both"/>
              <w:rPr>
                <w:rFonts w:ascii="Times New Roman" w:hAnsi="Times New Roman" w:cs="Times New Roman"/>
                <w:sz w:val="20"/>
                <w:szCs w:val="20"/>
              </w:rPr>
            </w:pPr>
            <w:r w:rsidRPr="00884186">
              <w:rPr>
                <w:rFonts w:ascii="Times New Roman" w:hAnsi="Times New Roman" w:cs="Times New Roman"/>
                <w:sz w:val="20"/>
                <w:szCs w:val="20"/>
              </w:rPr>
              <w:t xml:space="preserve">стимулирование развития приоритетных </w:t>
            </w:r>
            <w:proofErr w:type="spellStart"/>
            <w:r w:rsidRPr="00884186">
              <w:rPr>
                <w:rFonts w:ascii="Times New Roman" w:hAnsi="Times New Roman" w:cs="Times New Roman"/>
                <w:sz w:val="20"/>
                <w:szCs w:val="20"/>
              </w:rPr>
              <w:t>подотраслей</w:t>
            </w:r>
            <w:proofErr w:type="spellEnd"/>
            <w:r w:rsidRPr="00884186">
              <w:rPr>
                <w:rFonts w:ascii="Times New Roman" w:hAnsi="Times New Roman" w:cs="Times New Roman"/>
                <w:sz w:val="20"/>
                <w:szCs w:val="20"/>
              </w:rPr>
              <w:t xml:space="preserve"> агропромышленного комплекса и развитие малых форм хозяйствования</w:t>
            </w:r>
            <w:r>
              <w:rPr>
                <w:rFonts w:ascii="Times New Roman" w:hAnsi="Times New Roman" w:cs="Times New Roman"/>
                <w:sz w:val="20"/>
                <w:szCs w:val="20"/>
              </w:rPr>
              <w:t xml:space="preserve"> – из-за отсутствия заявителей; </w:t>
            </w:r>
          </w:p>
          <w:p w:rsidR="00255150" w:rsidRDefault="00255150" w:rsidP="00255150">
            <w:pPr>
              <w:autoSpaceDE w:val="0"/>
              <w:autoSpaceDN w:val="0"/>
              <w:adjustRightInd w:val="0"/>
              <w:ind w:firstLine="459"/>
              <w:jc w:val="both"/>
              <w:rPr>
                <w:rFonts w:ascii="Times New Roman" w:hAnsi="Times New Roman" w:cs="Times New Roman"/>
                <w:sz w:val="20"/>
                <w:szCs w:val="20"/>
              </w:rPr>
            </w:pPr>
            <w:r>
              <w:rPr>
                <w:rFonts w:ascii="Times New Roman" w:hAnsi="Times New Roman" w:cs="Times New Roman"/>
                <w:sz w:val="20"/>
                <w:szCs w:val="20"/>
              </w:rPr>
              <w:t>- иных межбюджетных трансфертов на:</w:t>
            </w:r>
          </w:p>
          <w:p w:rsidR="00A07AC9" w:rsidRDefault="00A07AC9" w:rsidP="00255150">
            <w:pPr>
              <w:autoSpaceDE w:val="0"/>
              <w:autoSpaceDN w:val="0"/>
              <w:adjustRightInd w:val="0"/>
              <w:ind w:firstLine="459"/>
              <w:jc w:val="both"/>
              <w:rPr>
                <w:rFonts w:ascii="Times New Roman" w:hAnsi="Times New Roman" w:cs="Times New Roman"/>
                <w:sz w:val="20"/>
                <w:szCs w:val="20"/>
              </w:rPr>
            </w:pPr>
            <w:r w:rsidRPr="00A07AC9">
              <w:rPr>
                <w:rFonts w:ascii="Times New Roman" w:hAnsi="Times New Roman" w:cs="Times New Roman"/>
                <w:sz w:val="20"/>
                <w:szCs w:val="20"/>
              </w:rPr>
              <w:t>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w:t>
            </w:r>
            <w:r w:rsidR="006F0FF1">
              <w:rPr>
                <w:rFonts w:ascii="Times New Roman" w:hAnsi="Times New Roman" w:cs="Times New Roman"/>
                <w:sz w:val="20"/>
                <w:szCs w:val="20"/>
              </w:rPr>
              <w:t xml:space="preserve"> в связи с тем, что в</w:t>
            </w:r>
            <w:r w:rsidR="006F0FF1" w:rsidRPr="006F0FF1">
              <w:rPr>
                <w:rFonts w:ascii="Times New Roman" w:hAnsi="Times New Roman" w:cs="Times New Roman"/>
                <w:sz w:val="20"/>
                <w:szCs w:val="20"/>
              </w:rPr>
              <w:t xml:space="preserve"> 2020 году спрос на рабочую силу на регистрируемом рынке труда снизился на 15,6% при этом численность граждан, обратившихся за содействием в поиске подходящей работы, увеличилась в </w:t>
            </w:r>
            <w:r w:rsidR="00FC77AB">
              <w:rPr>
                <w:rFonts w:ascii="Times New Roman" w:hAnsi="Times New Roman" w:cs="Times New Roman"/>
                <w:sz w:val="20"/>
                <w:szCs w:val="20"/>
              </w:rPr>
              <w:t>1,9 раза;</w:t>
            </w:r>
          </w:p>
          <w:p w:rsidR="00FC77AB" w:rsidRDefault="00FC77AB" w:rsidP="00255150">
            <w:pPr>
              <w:autoSpaceDE w:val="0"/>
              <w:autoSpaceDN w:val="0"/>
              <w:adjustRightInd w:val="0"/>
              <w:ind w:firstLine="459"/>
              <w:jc w:val="both"/>
              <w:rPr>
                <w:rFonts w:ascii="Times New Roman" w:hAnsi="Times New Roman" w:cs="Times New Roman"/>
                <w:sz w:val="20"/>
                <w:szCs w:val="20"/>
              </w:rPr>
            </w:pPr>
            <w:r w:rsidRPr="00FC77AB">
              <w:rPr>
                <w:rFonts w:ascii="Times New Roman" w:hAnsi="Times New Roman" w:cs="Times New Roman"/>
                <w:sz w:val="20"/>
                <w:szCs w:val="20"/>
              </w:rPr>
              <w:t>осуществлени</w:t>
            </w:r>
            <w:r>
              <w:rPr>
                <w:rFonts w:ascii="Times New Roman" w:hAnsi="Times New Roman" w:cs="Times New Roman"/>
                <w:sz w:val="20"/>
                <w:szCs w:val="20"/>
              </w:rPr>
              <w:t>е</w:t>
            </w:r>
            <w:r w:rsidRPr="00FC77AB">
              <w:rPr>
                <w:rFonts w:ascii="Times New Roman" w:hAnsi="Times New Roman" w:cs="Times New Roman"/>
                <w:sz w:val="20"/>
                <w:szCs w:val="20"/>
              </w:rPr>
              <w:t xml:space="preserve"> выплат стимулирующего характера за особые условия труда и дополнительную нагрузку работникам органов записи актов гражданского состояния субъектов Российской Федерации и г. Байконура, осуществлявшим конвертацию и передачу записей актов гражданского состояния в Единый государственный реестр записей актов гражданского состояния</w:t>
            </w:r>
            <w:r>
              <w:rPr>
                <w:rFonts w:ascii="Times New Roman" w:hAnsi="Times New Roman" w:cs="Times New Roman"/>
                <w:sz w:val="20"/>
                <w:szCs w:val="20"/>
              </w:rPr>
              <w:t xml:space="preserve"> по причине предоставления</w:t>
            </w:r>
            <w:r w:rsidRPr="00FC77AB">
              <w:rPr>
                <w:rFonts w:ascii="Times New Roman" w:hAnsi="Times New Roman" w:cs="Times New Roman"/>
                <w:sz w:val="20"/>
                <w:szCs w:val="20"/>
              </w:rPr>
              <w:t xml:space="preserve"> двум</w:t>
            </w:r>
            <w:r>
              <w:rPr>
                <w:rFonts w:ascii="Times New Roman" w:hAnsi="Times New Roman" w:cs="Times New Roman"/>
                <w:sz w:val="20"/>
                <w:szCs w:val="20"/>
              </w:rPr>
              <w:t>я</w:t>
            </w:r>
            <w:r w:rsidRPr="00FC77AB">
              <w:rPr>
                <w:rFonts w:ascii="Times New Roman" w:hAnsi="Times New Roman" w:cs="Times New Roman"/>
                <w:sz w:val="20"/>
                <w:szCs w:val="20"/>
              </w:rPr>
              <w:t xml:space="preserve"> получателям</w:t>
            </w:r>
            <w:r>
              <w:rPr>
                <w:rFonts w:ascii="Times New Roman" w:hAnsi="Times New Roman" w:cs="Times New Roman"/>
                <w:sz w:val="20"/>
                <w:szCs w:val="20"/>
              </w:rPr>
              <w:t>и</w:t>
            </w:r>
            <w:r w:rsidRPr="00FC77AB">
              <w:rPr>
                <w:rFonts w:ascii="Times New Roman" w:hAnsi="Times New Roman" w:cs="Times New Roman"/>
                <w:sz w:val="20"/>
                <w:szCs w:val="20"/>
              </w:rPr>
              <w:t xml:space="preserve"> средств неточны</w:t>
            </w:r>
            <w:r>
              <w:rPr>
                <w:rFonts w:ascii="Times New Roman" w:hAnsi="Times New Roman" w:cs="Times New Roman"/>
                <w:sz w:val="20"/>
                <w:szCs w:val="20"/>
              </w:rPr>
              <w:t>х</w:t>
            </w:r>
            <w:r w:rsidRPr="00FC77AB">
              <w:rPr>
                <w:rFonts w:ascii="Times New Roman" w:hAnsi="Times New Roman" w:cs="Times New Roman"/>
                <w:sz w:val="20"/>
                <w:szCs w:val="20"/>
              </w:rPr>
              <w:t xml:space="preserve"> платежны</w:t>
            </w:r>
            <w:r>
              <w:rPr>
                <w:rFonts w:ascii="Times New Roman" w:hAnsi="Times New Roman" w:cs="Times New Roman"/>
                <w:sz w:val="20"/>
                <w:szCs w:val="20"/>
              </w:rPr>
              <w:t>х</w:t>
            </w:r>
            <w:r w:rsidRPr="00FC77AB">
              <w:rPr>
                <w:rFonts w:ascii="Times New Roman" w:hAnsi="Times New Roman" w:cs="Times New Roman"/>
                <w:sz w:val="20"/>
                <w:szCs w:val="20"/>
              </w:rPr>
              <w:t xml:space="preserve"> реквизит</w:t>
            </w:r>
            <w:r>
              <w:rPr>
                <w:rFonts w:ascii="Times New Roman" w:hAnsi="Times New Roman" w:cs="Times New Roman"/>
                <w:sz w:val="20"/>
                <w:szCs w:val="20"/>
              </w:rPr>
              <w:t>ов;</w:t>
            </w:r>
          </w:p>
          <w:p w:rsidR="00255150" w:rsidRDefault="00FC77AB" w:rsidP="00831C9A">
            <w:pPr>
              <w:autoSpaceDE w:val="0"/>
              <w:autoSpaceDN w:val="0"/>
              <w:adjustRightInd w:val="0"/>
              <w:ind w:firstLine="459"/>
              <w:jc w:val="both"/>
              <w:rPr>
                <w:rFonts w:ascii="Times New Roman" w:hAnsi="Times New Roman" w:cs="Times New Roman"/>
                <w:sz w:val="20"/>
                <w:szCs w:val="20"/>
              </w:rPr>
            </w:pPr>
            <w:r w:rsidRPr="00FC77AB">
              <w:rPr>
                <w:rFonts w:ascii="Times New Roman" w:hAnsi="Times New Roman" w:cs="Times New Roman"/>
                <w:sz w:val="20"/>
                <w:szCs w:val="20"/>
              </w:rPr>
              <w:lastRenderedPageBreak/>
              <w:t xml:space="preserve">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w:t>
            </w:r>
            <w:proofErr w:type="spellStart"/>
            <w:r w:rsidRPr="00FC77AB">
              <w:rPr>
                <w:rFonts w:ascii="Times New Roman" w:hAnsi="Times New Roman" w:cs="Times New Roman"/>
                <w:sz w:val="20"/>
                <w:szCs w:val="20"/>
              </w:rPr>
              <w:t>коронавирусной</w:t>
            </w:r>
            <w:proofErr w:type="spellEnd"/>
            <w:r w:rsidRPr="00FC77AB">
              <w:rPr>
                <w:rFonts w:ascii="Times New Roman" w:hAnsi="Times New Roman" w:cs="Times New Roman"/>
                <w:sz w:val="20"/>
                <w:szCs w:val="20"/>
              </w:rPr>
              <w:t xml:space="preserve"> инфекции (COVID-19) методами амплификации нуклеиновых кислот</w:t>
            </w:r>
            <w:r>
              <w:rPr>
                <w:rFonts w:ascii="Times New Roman" w:hAnsi="Times New Roman" w:cs="Times New Roman"/>
                <w:sz w:val="20"/>
                <w:szCs w:val="20"/>
              </w:rPr>
              <w:t xml:space="preserve"> </w:t>
            </w:r>
            <w:r w:rsidR="00831C9A" w:rsidRPr="00831C9A">
              <w:rPr>
                <w:rFonts w:ascii="Times New Roman" w:hAnsi="Times New Roman" w:cs="Times New Roman"/>
                <w:sz w:val="20"/>
                <w:szCs w:val="20"/>
              </w:rPr>
              <w:t>вследствие заключения контракта со</w:t>
            </w:r>
            <w:r w:rsidRPr="00831C9A">
              <w:rPr>
                <w:rFonts w:ascii="Times New Roman" w:hAnsi="Times New Roman" w:cs="Times New Roman"/>
                <w:sz w:val="20"/>
                <w:szCs w:val="20"/>
              </w:rPr>
              <w:t xml:space="preserve"> срок</w:t>
            </w:r>
            <w:r w:rsidR="00831C9A" w:rsidRPr="00831C9A">
              <w:rPr>
                <w:rFonts w:ascii="Times New Roman" w:hAnsi="Times New Roman" w:cs="Times New Roman"/>
                <w:sz w:val="20"/>
                <w:szCs w:val="20"/>
              </w:rPr>
              <w:t>ом</w:t>
            </w:r>
            <w:r w:rsidRPr="00831C9A">
              <w:rPr>
                <w:rFonts w:ascii="Times New Roman" w:hAnsi="Times New Roman" w:cs="Times New Roman"/>
                <w:sz w:val="20"/>
                <w:szCs w:val="20"/>
              </w:rPr>
              <w:t xml:space="preserve"> поставки оборудования </w:t>
            </w:r>
            <w:r w:rsidR="00831C9A" w:rsidRPr="00831C9A">
              <w:rPr>
                <w:rFonts w:ascii="Times New Roman" w:hAnsi="Times New Roman" w:cs="Times New Roman"/>
                <w:sz w:val="20"/>
                <w:szCs w:val="20"/>
              </w:rPr>
              <w:t>в 1 квартале</w:t>
            </w:r>
            <w:r w:rsidRPr="00831C9A">
              <w:rPr>
                <w:rFonts w:ascii="Times New Roman" w:hAnsi="Times New Roman" w:cs="Times New Roman"/>
                <w:sz w:val="20"/>
                <w:szCs w:val="20"/>
              </w:rPr>
              <w:t xml:space="preserve"> 2021 года.</w:t>
            </w:r>
          </w:p>
          <w:p w:rsidR="007E44BE" w:rsidRPr="001D0F88" w:rsidRDefault="000659F9" w:rsidP="0073477B">
            <w:pPr>
              <w:autoSpaceDE w:val="0"/>
              <w:autoSpaceDN w:val="0"/>
              <w:adjustRightInd w:val="0"/>
              <w:ind w:firstLine="459"/>
              <w:jc w:val="both"/>
              <w:rPr>
                <w:rFonts w:ascii="Times New Roman" w:hAnsi="Times New Roman" w:cs="Times New Roman"/>
                <w:sz w:val="20"/>
                <w:szCs w:val="20"/>
              </w:rPr>
            </w:pPr>
            <w:r>
              <w:rPr>
                <w:rFonts w:ascii="Times New Roman" w:hAnsi="Times New Roman" w:cs="Times New Roman"/>
                <w:sz w:val="20"/>
                <w:szCs w:val="20"/>
              </w:rPr>
              <w:t>Д</w:t>
            </w:r>
            <w:r w:rsidRPr="000659F9">
              <w:rPr>
                <w:rFonts w:ascii="Times New Roman" w:hAnsi="Times New Roman" w:cs="Times New Roman"/>
                <w:sz w:val="20"/>
                <w:szCs w:val="20"/>
              </w:rPr>
              <w:t xml:space="preserve">ействие пунктов 16 - 20(1) Правил формирования, предоставления и распределения субсидий из федерального бюджета бюджетам субъектов РФ, утвержденных постановлением Правительства Российской Федерации от 30 сентября 2014 г. </w:t>
            </w:r>
            <w:r>
              <w:rPr>
                <w:rFonts w:ascii="Times New Roman" w:hAnsi="Times New Roman" w:cs="Times New Roman"/>
                <w:sz w:val="20"/>
                <w:szCs w:val="20"/>
              </w:rPr>
              <w:t>№ 999 «</w:t>
            </w:r>
            <w:r w:rsidRPr="000659F9">
              <w:rPr>
                <w:rFonts w:ascii="Times New Roman" w:hAnsi="Times New Roman" w:cs="Times New Roman"/>
                <w:sz w:val="20"/>
                <w:szCs w:val="20"/>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0"/>
                <w:szCs w:val="20"/>
              </w:rPr>
              <w:t xml:space="preserve">», </w:t>
            </w:r>
            <w:r w:rsidR="0074434F">
              <w:rPr>
                <w:rFonts w:ascii="Times New Roman" w:hAnsi="Times New Roman" w:cs="Times New Roman"/>
                <w:sz w:val="20"/>
                <w:szCs w:val="20"/>
              </w:rPr>
              <w:t>устанавливающих</w:t>
            </w:r>
            <w:r>
              <w:rPr>
                <w:rFonts w:ascii="Times New Roman" w:hAnsi="Times New Roman" w:cs="Times New Roman"/>
                <w:sz w:val="20"/>
                <w:szCs w:val="20"/>
              </w:rPr>
              <w:t xml:space="preserve"> ответственность за </w:t>
            </w:r>
            <w:r w:rsidRPr="000659F9">
              <w:rPr>
                <w:rFonts w:ascii="Times New Roman" w:hAnsi="Times New Roman" w:cs="Times New Roman"/>
                <w:sz w:val="20"/>
                <w:szCs w:val="20"/>
              </w:rPr>
              <w:t>допущен</w:t>
            </w:r>
            <w:r>
              <w:rPr>
                <w:rFonts w:ascii="Times New Roman" w:hAnsi="Times New Roman" w:cs="Times New Roman"/>
                <w:sz w:val="20"/>
                <w:szCs w:val="20"/>
              </w:rPr>
              <w:t>н</w:t>
            </w:r>
            <w:r w:rsidRPr="000659F9">
              <w:rPr>
                <w:rFonts w:ascii="Times New Roman" w:hAnsi="Times New Roman" w:cs="Times New Roman"/>
                <w:sz w:val="20"/>
                <w:szCs w:val="20"/>
              </w:rPr>
              <w:t>ы</w:t>
            </w:r>
            <w:r>
              <w:rPr>
                <w:rFonts w:ascii="Times New Roman" w:hAnsi="Times New Roman" w:cs="Times New Roman"/>
                <w:sz w:val="20"/>
                <w:szCs w:val="20"/>
              </w:rPr>
              <w:t>е</w:t>
            </w:r>
            <w:r w:rsidRPr="000659F9">
              <w:rPr>
                <w:rFonts w:ascii="Times New Roman" w:hAnsi="Times New Roman" w:cs="Times New Roman"/>
                <w:sz w:val="20"/>
                <w:szCs w:val="20"/>
              </w:rPr>
              <w:t xml:space="preserve"> нарушения обязательств, предусмотренных соглашени</w:t>
            </w:r>
            <w:r w:rsidR="009B70A1">
              <w:rPr>
                <w:rFonts w:ascii="Times New Roman" w:hAnsi="Times New Roman" w:cs="Times New Roman"/>
                <w:sz w:val="20"/>
                <w:szCs w:val="20"/>
              </w:rPr>
              <w:t>я</w:t>
            </w:r>
            <w:r w:rsidRPr="000659F9">
              <w:rPr>
                <w:rFonts w:ascii="Times New Roman" w:hAnsi="Times New Roman" w:cs="Times New Roman"/>
                <w:sz w:val="20"/>
                <w:szCs w:val="20"/>
              </w:rPr>
              <w:t>м</w:t>
            </w:r>
            <w:r w:rsidR="009B70A1">
              <w:rPr>
                <w:rFonts w:ascii="Times New Roman" w:hAnsi="Times New Roman" w:cs="Times New Roman"/>
                <w:sz w:val="20"/>
                <w:szCs w:val="20"/>
              </w:rPr>
              <w:t>и, п</w:t>
            </w:r>
            <w:r w:rsidR="009B70A1" w:rsidRPr="000659F9">
              <w:rPr>
                <w:rFonts w:ascii="Times New Roman" w:hAnsi="Times New Roman" w:cs="Times New Roman"/>
                <w:sz w:val="20"/>
                <w:szCs w:val="20"/>
              </w:rPr>
              <w:t>риостанов</w:t>
            </w:r>
            <w:r w:rsidR="007E44BE">
              <w:rPr>
                <w:rFonts w:ascii="Times New Roman" w:hAnsi="Times New Roman" w:cs="Times New Roman"/>
                <w:sz w:val="20"/>
                <w:szCs w:val="20"/>
              </w:rPr>
              <w:t>лено</w:t>
            </w:r>
            <w:r w:rsidR="009B70A1" w:rsidRPr="000659F9">
              <w:rPr>
                <w:rFonts w:ascii="Times New Roman" w:hAnsi="Times New Roman" w:cs="Times New Roman"/>
                <w:sz w:val="20"/>
                <w:szCs w:val="20"/>
              </w:rPr>
              <w:t xml:space="preserve"> до 1 января 2022 г. </w:t>
            </w:r>
            <w:r>
              <w:rPr>
                <w:rFonts w:ascii="Times New Roman" w:hAnsi="Times New Roman" w:cs="Times New Roman"/>
                <w:sz w:val="20"/>
                <w:szCs w:val="20"/>
              </w:rPr>
              <w:t>п</w:t>
            </w:r>
            <w:r w:rsidRPr="000659F9">
              <w:rPr>
                <w:rFonts w:ascii="Times New Roman" w:hAnsi="Times New Roman" w:cs="Times New Roman"/>
                <w:sz w:val="20"/>
                <w:szCs w:val="20"/>
              </w:rPr>
              <w:t>остановление</w:t>
            </w:r>
            <w:r>
              <w:rPr>
                <w:rFonts w:ascii="Times New Roman" w:hAnsi="Times New Roman" w:cs="Times New Roman"/>
                <w:sz w:val="20"/>
                <w:szCs w:val="20"/>
              </w:rPr>
              <w:t>м</w:t>
            </w:r>
            <w:r w:rsidRPr="000659F9">
              <w:rPr>
                <w:rFonts w:ascii="Times New Roman" w:hAnsi="Times New Roman" w:cs="Times New Roman"/>
                <w:sz w:val="20"/>
                <w:szCs w:val="20"/>
              </w:rPr>
              <w:t xml:space="preserve"> Правительства РФ от 22.04.2020 </w:t>
            </w:r>
            <w:r>
              <w:rPr>
                <w:rFonts w:ascii="Times New Roman" w:hAnsi="Times New Roman" w:cs="Times New Roman"/>
                <w:sz w:val="20"/>
                <w:szCs w:val="20"/>
              </w:rPr>
              <w:t>№</w:t>
            </w:r>
            <w:r w:rsidRPr="000659F9">
              <w:rPr>
                <w:rFonts w:ascii="Times New Roman" w:hAnsi="Times New Roman" w:cs="Times New Roman"/>
                <w:sz w:val="20"/>
                <w:szCs w:val="20"/>
              </w:rPr>
              <w:t xml:space="preserve"> 559</w:t>
            </w:r>
            <w:r w:rsidR="009B70A1">
              <w:rPr>
                <w:rFonts w:ascii="Times New Roman" w:hAnsi="Times New Roman" w:cs="Times New Roman"/>
                <w:sz w:val="20"/>
                <w:szCs w:val="20"/>
              </w:rPr>
              <w:t>.</w:t>
            </w:r>
            <w:r w:rsidR="007E44BE">
              <w:rPr>
                <w:rFonts w:ascii="Times New Roman" w:hAnsi="Times New Roman" w:cs="Times New Roman"/>
                <w:sz w:val="20"/>
                <w:szCs w:val="20"/>
              </w:rPr>
              <w:t xml:space="preserve"> </w:t>
            </w:r>
          </w:p>
        </w:tc>
      </w:tr>
      <w:tr w:rsidR="00406E3A" w:rsidTr="002D66BA">
        <w:trPr>
          <w:cantSplit/>
        </w:trPr>
        <w:tc>
          <w:tcPr>
            <w:tcW w:w="1485" w:type="dxa"/>
            <w:tcBorders>
              <w:top w:val="nil"/>
              <w:bottom w:val="nil"/>
            </w:tcBorders>
          </w:tcPr>
          <w:p w:rsidR="00406E3A" w:rsidRDefault="00406E3A" w:rsidP="00BD63B0">
            <w:pPr>
              <w:jc w:val="center"/>
              <w:rPr>
                <w:rFonts w:ascii="Times New Roman" w:hAnsi="Times New Roman" w:cs="Times New Roman"/>
                <w:sz w:val="20"/>
                <w:szCs w:val="20"/>
              </w:rPr>
            </w:pPr>
          </w:p>
        </w:tc>
        <w:tc>
          <w:tcPr>
            <w:tcW w:w="7128" w:type="dxa"/>
          </w:tcPr>
          <w:p w:rsidR="00406E3A" w:rsidRDefault="00406E3A" w:rsidP="00356494">
            <w:pPr>
              <w:pStyle w:val="ConsPlusNormal"/>
              <w:jc w:val="both"/>
            </w:pPr>
            <w:r>
              <w:t xml:space="preserve">л) </w:t>
            </w:r>
            <w:r w:rsidR="00210CD8">
              <w:t>заключение соглашений о предоставлении из бюджета автономного округа субсидий бюджетам муниципальных образований автономного округа, предусмотренных Законом, до 1 февраля текущего финансового года;</w:t>
            </w:r>
          </w:p>
        </w:tc>
        <w:tc>
          <w:tcPr>
            <w:tcW w:w="6663" w:type="dxa"/>
          </w:tcPr>
          <w:p w:rsidR="004375BF" w:rsidRDefault="002A1EF2" w:rsidP="00544394">
            <w:pPr>
              <w:ind w:firstLine="459"/>
              <w:jc w:val="both"/>
              <w:rPr>
                <w:rFonts w:ascii="Times New Roman" w:hAnsi="Times New Roman" w:cs="Times New Roman"/>
                <w:sz w:val="20"/>
                <w:szCs w:val="20"/>
              </w:rPr>
            </w:pPr>
            <w:r>
              <w:rPr>
                <w:rFonts w:ascii="Times New Roman" w:hAnsi="Times New Roman" w:cs="Times New Roman"/>
                <w:sz w:val="20"/>
                <w:szCs w:val="20"/>
              </w:rPr>
              <w:t>из 341</w:t>
            </w:r>
            <w:r w:rsidR="00544394">
              <w:rPr>
                <w:rFonts w:ascii="Times New Roman" w:hAnsi="Times New Roman" w:cs="Times New Roman"/>
                <w:sz w:val="20"/>
                <w:szCs w:val="20"/>
              </w:rPr>
              <w:t xml:space="preserve"> соглашений </w:t>
            </w:r>
            <w:r w:rsidR="00544394" w:rsidRPr="00544394">
              <w:rPr>
                <w:rFonts w:ascii="Times New Roman" w:hAnsi="Times New Roman" w:cs="Times New Roman"/>
                <w:sz w:val="20"/>
                <w:szCs w:val="20"/>
              </w:rPr>
              <w:t>о предоставлении из бюджета автономного округа субсидий бюджетам муниципальных образований автономного округа, предусмотренных Законом,</w:t>
            </w:r>
            <w:r w:rsidR="00544394">
              <w:rPr>
                <w:rFonts w:ascii="Times New Roman" w:hAnsi="Times New Roman" w:cs="Times New Roman"/>
                <w:sz w:val="20"/>
                <w:szCs w:val="20"/>
              </w:rPr>
              <w:t xml:space="preserve"> в срок до 1 февраля заключены </w:t>
            </w:r>
            <w:r w:rsidR="002C176E">
              <w:rPr>
                <w:rFonts w:ascii="Times New Roman" w:hAnsi="Times New Roman" w:cs="Times New Roman"/>
                <w:sz w:val="20"/>
                <w:szCs w:val="20"/>
              </w:rPr>
              <w:t>231 соглашение</w:t>
            </w:r>
            <w:r w:rsidR="00F254F7">
              <w:rPr>
                <w:rFonts w:ascii="Times New Roman" w:hAnsi="Times New Roman" w:cs="Times New Roman"/>
                <w:sz w:val="20"/>
                <w:szCs w:val="20"/>
              </w:rPr>
              <w:t>.</w:t>
            </w:r>
          </w:p>
          <w:p w:rsidR="00F254F7" w:rsidRDefault="00F254F7" w:rsidP="00F254F7">
            <w:pPr>
              <w:ind w:firstLine="459"/>
              <w:jc w:val="both"/>
              <w:rPr>
                <w:rFonts w:ascii="Times New Roman" w:hAnsi="Times New Roman" w:cs="Times New Roman"/>
                <w:sz w:val="20"/>
                <w:szCs w:val="20"/>
              </w:rPr>
            </w:pPr>
            <w:r>
              <w:rPr>
                <w:rFonts w:ascii="Times New Roman" w:hAnsi="Times New Roman" w:cs="Times New Roman"/>
                <w:sz w:val="20"/>
                <w:szCs w:val="20"/>
              </w:rPr>
              <w:t>Не своевременно заключены:</w:t>
            </w:r>
          </w:p>
          <w:p w:rsidR="00F254F7" w:rsidRDefault="00F254F7" w:rsidP="00F254F7">
            <w:pPr>
              <w:ind w:firstLine="459"/>
              <w:jc w:val="both"/>
              <w:rPr>
                <w:rFonts w:ascii="Times New Roman" w:hAnsi="Times New Roman" w:cs="Times New Roman"/>
                <w:sz w:val="20"/>
                <w:szCs w:val="20"/>
              </w:rPr>
            </w:pPr>
            <w:r>
              <w:rPr>
                <w:rFonts w:ascii="Times New Roman" w:hAnsi="Times New Roman" w:cs="Times New Roman"/>
                <w:sz w:val="20"/>
                <w:szCs w:val="20"/>
              </w:rPr>
              <w:t xml:space="preserve">- </w:t>
            </w:r>
            <w:r w:rsidRPr="002C176E">
              <w:rPr>
                <w:rFonts w:ascii="Times New Roman" w:hAnsi="Times New Roman" w:cs="Times New Roman"/>
                <w:sz w:val="20"/>
                <w:szCs w:val="20"/>
              </w:rPr>
              <w:t>Департамент</w:t>
            </w:r>
            <w:r>
              <w:rPr>
                <w:rFonts w:ascii="Times New Roman" w:hAnsi="Times New Roman" w:cs="Times New Roman"/>
                <w:sz w:val="20"/>
                <w:szCs w:val="20"/>
              </w:rPr>
              <w:t>ом</w:t>
            </w:r>
            <w:r w:rsidRPr="002C176E">
              <w:rPr>
                <w:rFonts w:ascii="Times New Roman" w:hAnsi="Times New Roman" w:cs="Times New Roman"/>
                <w:sz w:val="20"/>
                <w:szCs w:val="20"/>
              </w:rPr>
              <w:t xml:space="preserve"> образования и молодежной политики автономного округа </w:t>
            </w:r>
            <w:r>
              <w:rPr>
                <w:rFonts w:ascii="Times New Roman" w:hAnsi="Times New Roman" w:cs="Times New Roman"/>
                <w:sz w:val="20"/>
                <w:szCs w:val="20"/>
              </w:rPr>
              <w:t xml:space="preserve">– </w:t>
            </w:r>
            <w:r w:rsidR="005931BC">
              <w:rPr>
                <w:rFonts w:ascii="Times New Roman" w:hAnsi="Times New Roman" w:cs="Times New Roman"/>
                <w:sz w:val="20"/>
                <w:szCs w:val="20"/>
              </w:rPr>
              <w:t>8</w:t>
            </w:r>
            <w:r>
              <w:rPr>
                <w:rFonts w:ascii="Times New Roman" w:hAnsi="Times New Roman" w:cs="Times New Roman"/>
                <w:sz w:val="20"/>
                <w:szCs w:val="20"/>
              </w:rPr>
              <w:t xml:space="preserve"> соглашений;</w:t>
            </w:r>
          </w:p>
          <w:p w:rsidR="00F254F7" w:rsidRDefault="00F254F7" w:rsidP="00F254F7">
            <w:pPr>
              <w:ind w:firstLine="459"/>
              <w:jc w:val="both"/>
              <w:rPr>
                <w:rFonts w:ascii="Times New Roman" w:hAnsi="Times New Roman" w:cs="Times New Roman"/>
                <w:sz w:val="20"/>
                <w:szCs w:val="20"/>
              </w:rPr>
            </w:pPr>
            <w:r>
              <w:rPr>
                <w:rFonts w:ascii="Times New Roman" w:hAnsi="Times New Roman" w:cs="Times New Roman"/>
                <w:sz w:val="20"/>
                <w:szCs w:val="20"/>
              </w:rPr>
              <w:t>- Департаментом культуры автономного округа – 2</w:t>
            </w:r>
            <w:r w:rsidR="00E760BA">
              <w:rPr>
                <w:rFonts w:ascii="Times New Roman" w:hAnsi="Times New Roman" w:cs="Times New Roman"/>
                <w:sz w:val="20"/>
                <w:szCs w:val="20"/>
              </w:rPr>
              <w:t>2</w:t>
            </w:r>
            <w:r>
              <w:rPr>
                <w:rFonts w:ascii="Times New Roman" w:hAnsi="Times New Roman" w:cs="Times New Roman"/>
                <w:sz w:val="20"/>
                <w:szCs w:val="20"/>
              </w:rPr>
              <w:t xml:space="preserve"> соглашения;</w:t>
            </w:r>
          </w:p>
          <w:p w:rsidR="00F254F7" w:rsidRDefault="00F254F7" w:rsidP="00F254F7">
            <w:pPr>
              <w:ind w:firstLine="459"/>
              <w:jc w:val="both"/>
              <w:rPr>
                <w:rFonts w:ascii="Times New Roman" w:hAnsi="Times New Roman" w:cs="Times New Roman"/>
                <w:sz w:val="20"/>
                <w:szCs w:val="20"/>
              </w:rPr>
            </w:pPr>
            <w:r>
              <w:rPr>
                <w:rFonts w:ascii="Times New Roman" w:hAnsi="Times New Roman" w:cs="Times New Roman"/>
                <w:sz w:val="20"/>
                <w:szCs w:val="20"/>
              </w:rPr>
              <w:t>- Департаментом физической культуры и спорта – 20 соглашений;</w:t>
            </w:r>
          </w:p>
          <w:p w:rsidR="00F254F7" w:rsidRDefault="00F254F7" w:rsidP="00F254F7">
            <w:pPr>
              <w:ind w:firstLine="459"/>
              <w:jc w:val="both"/>
              <w:rPr>
                <w:rFonts w:ascii="Times New Roman" w:hAnsi="Times New Roman" w:cs="Times New Roman"/>
                <w:sz w:val="20"/>
                <w:szCs w:val="20"/>
              </w:rPr>
            </w:pPr>
            <w:r>
              <w:rPr>
                <w:rFonts w:ascii="Times New Roman" w:hAnsi="Times New Roman" w:cs="Times New Roman"/>
                <w:sz w:val="20"/>
                <w:szCs w:val="20"/>
              </w:rPr>
              <w:t xml:space="preserve">- </w:t>
            </w:r>
            <w:r w:rsidRPr="002C176E">
              <w:rPr>
                <w:rFonts w:ascii="Times New Roman" w:hAnsi="Times New Roman" w:cs="Times New Roman"/>
                <w:sz w:val="20"/>
                <w:szCs w:val="20"/>
              </w:rPr>
              <w:t>Департамент</w:t>
            </w:r>
            <w:r>
              <w:rPr>
                <w:rFonts w:ascii="Times New Roman" w:hAnsi="Times New Roman" w:cs="Times New Roman"/>
                <w:sz w:val="20"/>
                <w:szCs w:val="20"/>
              </w:rPr>
              <w:t>ом</w:t>
            </w:r>
            <w:r w:rsidRPr="002C176E">
              <w:rPr>
                <w:rFonts w:ascii="Times New Roman" w:hAnsi="Times New Roman" w:cs="Times New Roman"/>
                <w:sz w:val="20"/>
                <w:szCs w:val="20"/>
              </w:rPr>
              <w:t xml:space="preserve"> строительств</w:t>
            </w:r>
            <w:r>
              <w:rPr>
                <w:rFonts w:ascii="Times New Roman" w:hAnsi="Times New Roman" w:cs="Times New Roman"/>
                <w:sz w:val="20"/>
                <w:szCs w:val="20"/>
              </w:rPr>
              <w:t>а</w:t>
            </w:r>
            <w:r w:rsidRPr="002C176E">
              <w:rPr>
                <w:rFonts w:ascii="Times New Roman" w:hAnsi="Times New Roman" w:cs="Times New Roman"/>
                <w:sz w:val="20"/>
                <w:szCs w:val="20"/>
              </w:rPr>
              <w:t xml:space="preserve"> автономного округа </w:t>
            </w:r>
            <w:r>
              <w:rPr>
                <w:rFonts w:ascii="Times New Roman" w:hAnsi="Times New Roman" w:cs="Times New Roman"/>
                <w:sz w:val="20"/>
                <w:szCs w:val="20"/>
              </w:rPr>
              <w:t xml:space="preserve">– </w:t>
            </w:r>
            <w:r w:rsidR="005931BC">
              <w:rPr>
                <w:rFonts w:ascii="Times New Roman" w:hAnsi="Times New Roman" w:cs="Times New Roman"/>
                <w:sz w:val="20"/>
                <w:szCs w:val="20"/>
              </w:rPr>
              <w:t xml:space="preserve">24 </w:t>
            </w:r>
            <w:r>
              <w:rPr>
                <w:rFonts w:ascii="Times New Roman" w:hAnsi="Times New Roman" w:cs="Times New Roman"/>
                <w:sz w:val="20"/>
                <w:szCs w:val="20"/>
              </w:rPr>
              <w:t>соглашени</w:t>
            </w:r>
            <w:r w:rsidR="005931BC">
              <w:rPr>
                <w:rFonts w:ascii="Times New Roman" w:hAnsi="Times New Roman" w:cs="Times New Roman"/>
                <w:sz w:val="20"/>
                <w:szCs w:val="20"/>
              </w:rPr>
              <w:t>я</w:t>
            </w:r>
            <w:r>
              <w:rPr>
                <w:rFonts w:ascii="Times New Roman" w:hAnsi="Times New Roman" w:cs="Times New Roman"/>
                <w:sz w:val="20"/>
                <w:szCs w:val="20"/>
              </w:rPr>
              <w:t>;</w:t>
            </w:r>
          </w:p>
          <w:p w:rsidR="005931BC" w:rsidRDefault="005931BC" w:rsidP="005931BC">
            <w:pPr>
              <w:ind w:firstLine="459"/>
              <w:jc w:val="both"/>
              <w:rPr>
                <w:rFonts w:ascii="Times New Roman" w:hAnsi="Times New Roman" w:cs="Times New Roman"/>
                <w:sz w:val="20"/>
                <w:szCs w:val="20"/>
              </w:rPr>
            </w:pPr>
            <w:r>
              <w:rPr>
                <w:rFonts w:ascii="Times New Roman" w:hAnsi="Times New Roman" w:cs="Times New Roman"/>
                <w:sz w:val="20"/>
                <w:szCs w:val="20"/>
              </w:rPr>
              <w:t xml:space="preserve">- </w:t>
            </w:r>
            <w:r w:rsidRPr="002C176E">
              <w:rPr>
                <w:rFonts w:ascii="Times New Roman" w:hAnsi="Times New Roman" w:cs="Times New Roman"/>
                <w:sz w:val="20"/>
                <w:szCs w:val="20"/>
              </w:rPr>
              <w:t>Департамент</w:t>
            </w:r>
            <w:r>
              <w:rPr>
                <w:rFonts w:ascii="Times New Roman" w:hAnsi="Times New Roman" w:cs="Times New Roman"/>
                <w:sz w:val="20"/>
                <w:szCs w:val="20"/>
              </w:rPr>
              <w:t>ом</w:t>
            </w:r>
            <w:r w:rsidRPr="002C176E">
              <w:rPr>
                <w:rFonts w:ascii="Times New Roman" w:hAnsi="Times New Roman" w:cs="Times New Roman"/>
                <w:sz w:val="20"/>
                <w:szCs w:val="20"/>
              </w:rPr>
              <w:t xml:space="preserve"> жилищно-коммунального комплекса и энергетики автономного округа</w:t>
            </w:r>
            <w:r>
              <w:rPr>
                <w:rFonts w:ascii="Times New Roman" w:hAnsi="Times New Roman" w:cs="Times New Roman"/>
                <w:sz w:val="20"/>
                <w:szCs w:val="20"/>
              </w:rPr>
              <w:t xml:space="preserve"> - 33 соглашения;</w:t>
            </w:r>
          </w:p>
          <w:p w:rsidR="00F254F7" w:rsidRDefault="005931BC" w:rsidP="005931BC">
            <w:pPr>
              <w:ind w:firstLine="459"/>
              <w:jc w:val="both"/>
              <w:rPr>
                <w:rFonts w:ascii="Times New Roman" w:hAnsi="Times New Roman" w:cs="Times New Roman"/>
                <w:sz w:val="20"/>
                <w:szCs w:val="20"/>
              </w:rPr>
            </w:pPr>
            <w:r>
              <w:rPr>
                <w:rFonts w:ascii="Times New Roman" w:hAnsi="Times New Roman" w:cs="Times New Roman"/>
                <w:sz w:val="20"/>
                <w:szCs w:val="20"/>
              </w:rPr>
              <w:t>- Департаментом финансов ав</w:t>
            </w:r>
            <w:r w:rsidR="002A1EF2">
              <w:rPr>
                <w:rFonts w:ascii="Times New Roman" w:hAnsi="Times New Roman" w:cs="Times New Roman"/>
                <w:sz w:val="20"/>
                <w:szCs w:val="20"/>
              </w:rPr>
              <w:t>тономного округа – 1 соглашение;</w:t>
            </w:r>
          </w:p>
          <w:p w:rsidR="002A1EF2" w:rsidRDefault="002A1EF2" w:rsidP="005931BC">
            <w:pPr>
              <w:ind w:firstLine="459"/>
              <w:jc w:val="both"/>
              <w:rPr>
                <w:rFonts w:ascii="Times New Roman" w:hAnsi="Times New Roman" w:cs="Times New Roman"/>
                <w:sz w:val="20"/>
                <w:szCs w:val="20"/>
              </w:rPr>
            </w:pPr>
            <w:r>
              <w:rPr>
                <w:rFonts w:ascii="Times New Roman" w:hAnsi="Times New Roman" w:cs="Times New Roman"/>
                <w:sz w:val="20"/>
                <w:szCs w:val="20"/>
              </w:rPr>
              <w:t xml:space="preserve">- </w:t>
            </w:r>
            <w:r w:rsidRPr="00ED53B2">
              <w:rPr>
                <w:rFonts w:ascii="Times New Roman" w:hAnsi="Times New Roman" w:cs="Times New Roman"/>
                <w:sz w:val="20"/>
                <w:szCs w:val="20"/>
              </w:rPr>
              <w:t>Службой по контролю и надзору в сфере охраны окружающей среды, объектов животного мира и лесных отношений автономного округа – 1 соглашение.</w:t>
            </w:r>
          </w:p>
          <w:p w:rsidR="00B70CEE" w:rsidRPr="001D0F88" w:rsidRDefault="00B77A8A" w:rsidP="00B77A8A">
            <w:pPr>
              <w:ind w:firstLine="459"/>
              <w:jc w:val="both"/>
              <w:rPr>
                <w:rFonts w:ascii="Times New Roman" w:hAnsi="Times New Roman" w:cs="Times New Roman"/>
                <w:sz w:val="20"/>
                <w:szCs w:val="20"/>
              </w:rPr>
            </w:pPr>
            <w:r>
              <w:rPr>
                <w:rFonts w:ascii="Times New Roman" w:hAnsi="Times New Roman" w:cs="Times New Roman"/>
                <w:sz w:val="20"/>
                <w:szCs w:val="20"/>
              </w:rPr>
              <w:t>Среди</w:t>
            </w:r>
            <w:r w:rsidR="00B70CEE">
              <w:rPr>
                <w:rFonts w:ascii="Times New Roman" w:hAnsi="Times New Roman" w:cs="Times New Roman"/>
                <w:sz w:val="20"/>
                <w:szCs w:val="20"/>
              </w:rPr>
              <w:t xml:space="preserve"> причин </w:t>
            </w:r>
            <w:proofErr w:type="gramStart"/>
            <w:r w:rsidR="00B70CEE">
              <w:rPr>
                <w:rFonts w:ascii="Times New Roman" w:hAnsi="Times New Roman" w:cs="Times New Roman"/>
                <w:sz w:val="20"/>
                <w:szCs w:val="20"/>
              </w:rPr>
              <w:t>не соблюдения</w:t>
            </w:r>
            <w:proofErr w:type="gramEnd"/>
            <w:r w:rsidR="00B70CEE">
              <w:rPr>
                <w:rFonts w:ascii="Times New Roman" w:hAnsi="Times New Roman" w:cs="Times New Roman"/>
                <w:sz w:val="20"/>
                <w:szCs w:val="20"/>
              </w:rPr>
              <w:t xml:space="preserve"> сроков заключения соглашений </w:t>
            </w:r>
            <w:r>
              <w:rPr>
                <w:rFonts w:ascii="Times New Roman" w:hAnsi="Times New Roman" w:cs="Times New Roman"/>
                <w:sz w:val="20"/>
                <w:szCs w:val="20"/>
              </w:rPr>
              <w:t>-</w:t>
            </w:r>
            <w:r w:rsidR="00B70CEE">
              <w:rPr>
                <w:rFonts w:ascii="Times New Roman" w:hAnsi="Times New Roman" w:cs="Times New Roman"/>
                <w:sz w:val="20"/>
                <w:szCs w:val="20"/>
              </w:rPr>
              <w:t xml:space="preserve"> отсутствие полного пакета документов у муниципального образования в соответствии </w:t>
            </w:r>
            <w:r w:rsidR="00A44955">
              <w:rPr>
                <w:rFonts w:ascii="Times New Roman" w:hAnsi="Times New Roman" w:cs="Times New Roman"/>
                <w:sz w:val="20"/>
                <w:szCs w:val="20"/>
              </w:rPr>
              <w:t xml:space="preserve">с утвержденными порядками предоставления субсидий, </w:t>
            </w:r>
            <w:r>
              <w:rPr>
                <w:rFonts w:ascii="Times New Roman" w:hAnsi="Times New Roman" w:cs="Times New Roman"/>
                <w:sz w:val="20"/>
                <w:szCs w:val="20"/>
              </w:rPr>
              <w:t>отсутствие либо недостаточный объем бюджетных ассигнований, предусмотренный в бюджете муниципальных образований на софинансирование соответствующих расходных обязательств.</w:t>
            </w:r>
          </w:p>
        </w:tc>
      </w:tr>
      <w:tr w:rsidR="00406E3A" w:rsidTr="0051666E">
        <w:trPr>
          <w:cantSplit/>
        </w:trPr>
        <w:tc>
          <w:tcPr>
            <w:tcW w:w="1485" w:type="dxa"/>
            <w:tcBorders>
              <w:top w:val="nil"/>
            </w:tcBorders>
          </w:tcPr>
          <w:p w:rsidR="00406E3A" w:rsidRDefault="00406E3A" w:rsidP="00BD63B0">
            <w:pPr>
              <w:jc w:val="center"/>
              <w:rPr>
                <w:rFonts w:ascii="Times New Roman" w:hAnsi="Times New Roman" w:cs="Times New Roman"/>
                <w:sz w:val="20"/>
                <w:szCs w:val="20"/>
              </w:rPr>
            </w:pPr>
          </w:p>
        </w:tc>
        <w:tc>
          <w:tcPr>
            <w:tcW w:w="7128" w:type="dxa"/>
          </w:tcPr>
          <w:p w:rsidR="00406E3A" w:rsidRPr="00F86304" w:rsidRDefault="00406E3A" w:rsidP="00210CD8">
            <w:pPr>
              <w:pStyle w:val="ConsPlusNormal"/>
              <w:jc w:val="both"/>
            </w:pPr>
            <w:r>
              <w:t xml:space="preserve">м) </w:t>
            </w:r>
            <w:r w:rsidR="00210CD8">
              <w:t>осуществление контроля за соблюдением условий, целей и достижением целевых показателей, предусмотренных заключенными соглашениями о предоставлении межбюджетных субсидий, иных межбюджетных трансфертов из бюджета автономного округа бюджетам муниципальных образований автономного округа;</w:t>
            </w:r>
          </w:p>
        </w:tc>
        <w:tc>
          <w:tcPr>
            <w:tcW w:w="6663" w:type="dxa"/>
          </w:tcPr>
          <w:p w:rsidR="007E44BE" w:rsidRPr="00E60114" w:rsidRDefault="00B108B7" w:rsidP="00720421">
            <w:pPr>
              <w:ind w:firstLine="459"/>
              <w:jc w:val="both"/>
              <w:rPr>
                <w:rFonts w:ascii="Times New Roman" w:hAnsi="Times New Roman" w:cs="Times New Roman"/>
                <w:sz w:val="20"/>
                <w:szCs w:val="20"/>
              </w:rPr>
            </w:pPr>
            <w:r w:rsidRPr="004865FB">
              <w:rPr>
                <w:rFonts w:ascii="Times New Roman" w:hAnsi="Times New Roman" w:cs="Times New Roman"/>
                <w:color w:val="000000" w:themeColor="text1"/>
                <w:sz w:val="20"/>
                <w:szCs w:val="20"/>
              </w:rPr>
              <w:t>главными распорядителями средств бюджета автономного округа осуществлялся контроль за соблюдением условий</w:t>
            </w:r>
            <w:r w:rsidR="004865FB" w:rsidRPr="004865FB">
              <w:rPr>
                <w:rFonts w:ascii="Times New Roman" w:hAnsi="Times New Roman" w:cs="Times New Roman"/>
                <w:color w:val="000000" w:themeColor="text1"/>
                <w:sz w:val="20"/>
                <w:szCs w:val="20"/>
              </w:rPr>
              <w:t xml:space="preserve"> предоставления </w:t>
            </w:r>
            <w:r w:rsidR="007E44BE">
              <w:rPr>
                <w:rFonts w:ascii="Times New Roman" w:hAnsi="Times New Roman" w:cs="Times New Roman"/>
                <w:color w:val="000000" w:themeColor="text1"/>
                <w:sz w:val="20"/>
                <w:szCs w:val="20"/>
              </w:rPr>
              <w:t xml:space="preserve">межбюджетных </w:t>
            </w:r>
            <w:r w:rsidR="004865FB" w:rsidRPr="004865FB">
              <w:rPr>
                <w:rFonts w:ascii="Times New Roman" w:hAnsi="Times New Roman" w:cs="Times New Roman"/>
                <w:color w:val="000000" w:themeColor="text1"/>
                <w:sz w:val="20"/>
                <w:szCs w:val="20"/>
              </w:rPr>
              <w:t>трансфертов</w:t>
            </w:r>
            <w:r w:rsidRPr="004865FB">
              <w:rPr>
                <w:rFonts w:ascii="Times New Roman" w:hAnsi="Times New Roman" w:cs="Times New Roman"/>
                <w:color w:val="000000" w:themeColor="text1"/>
                <w:sz w:val="20"/>
                <w:szCs w:val="20"/>
              </w:rPr>
              <w:t xml:space="preserve">, </w:t>
            </w:r>
            <w:r w:rsidR="004865FB" w:rsidRPr="004865FB">
              <w:rPr>
                <w:rFonts w:ascii="Times New Roman" w:hAnsi="Times New Roman" w:cs="Times New Roman"/>
                <w:color w:val="000000" w:themeColor="text1"/>
                <w:sz w:val="20"/>
                <w:szCs w:val="20"/>
              </w:rPr>
              <w:t xml:space="preserve">проверка документов, подтверждающих произведенные расходы из бюджета муниципального образования в случае если субсидия из бюджета автономного </w:t>
            </w:r>
            <w:r w:rsidR="004865FB">
              <w:rPr>
                <w:rFonts w:ascii="Times New Roman" w:hAnsi="Times New Roman" w:cs="Times New Roman"/>
                <w:sz w:val="20"/>
                <w:szCs w:val="20"/>
              </w:rPr>
              <w:t xml:space="preserve">округа </w:t>
            </w:r>
            <w:r w:rsidR="004865FB" w:rsidRPr="004865FB">
              <w:rPr>
                <w:rFonts w:ascii="Times New Roman" w:hAnsi="Times New Roman" w:cs="Times New Roman"/>
                <w:sz w:val="20"/>
                <w:szCs w:val="20"/>
              </w:rPr>
              <w:t xml:space="preserve">предоставляется на </w:t>
            </w:r>
            <w:r w:rsidR="004865FB">
              <w:rPr>
                <w:rFonts w:ascii="Times New Roman" w:hAnsi="Times New Roman" w:cs="Times New Roman"/>
                <w:sz w:val="20"/>
                <w:szCs w:val="20"/>
              </w:rPr>
              <w:t>их возмещение. Кроме того, о</w:t>
            </w:r>
            <w:r w:rsidR="004865FB" w:rsidRPr="004865FB">
              <w:rPr>
                <w:rFonts w:ascii="Times New Roman" w:hAnsi="Times New Roman" w:cs="Times New Roman"/>
                <w:sz w:val="20"/>
                <w:szCs w:val="20"/>
              </w:rPr>
              <w:t>существля</w:t>
            </w:r>
            <w:r w:rsidR="004865FB">
              <w:rPr>
                <w:rFonts w:ascii="Times New Roman" w:hAnsi="Times New Roman" w:cs="Times New Roman"/>
                <w:sz w:val="20"/>
                <w:szCs w:val="20"/>
              </w:rPr>
              <w:t>лась</w:t>
            </w:r>
            <w:r w:rsidR="004865FB" w:rsidRPr="004865FB">
              <w:rPr>
                <w:rFonts w:ascii="Times New Roman" w:hAnsi="Times New Roman" w:cs="Times New Roman"/>
                <w:sz w:val="20"/>
                <w:szCs w:val="20"/>
              </w:rPr>
              <w:t xml:space="preserve"> оценк</w:t>
            </w:r>
            <w:r w:rsidR="004865FB">
              <w:rPr>
                <w:rFonts w:ascii="Times New Roman" w:hAnsi="Times New Roman" w:cs="Times New Roman"/>
                <w:sz w:val="20"/>
                <w:szCs w:val="20"/>
              </w:rPr>
              <w:t>а</w:t>
            </w:r>
            <w:r w:rsidR="004865FB" w:rsidRPr="004865FB">
              <w:rPr>
                <w:rFonts w:ascii="Times New Roman" w:hAnsi="Times New Roman" w:cs="Times New Roman"/>
                <w:sz w:val="20"/>
                <w:szCs w:val="20"/>
              </w:rPr>
              <w:t xml:space="preserve"> результативности (результатов) </w:t>
            </w:r>
            <w:r w:rsidR="004865FB">
              <w:rPr>
                <w:rFonts w:ascii="Times New Roman" w:hAnsi="Times New Roman" w:cs="Times New Roman"/>
                <w:sz w:val="20"/>
                <w:szCs w:val="20"/>
              </w:rPr>
              <w:t>использования трансфертов</w:t>
            </w:r>
            <w:r w:rsidR="004865FB" w:rsidRPr="004865FB">
              <w:rPr>
                <w:rFonts w:ascii="Times New Roman" w:hAnsi="Times New Roman" w:cs="Times New Roman"/>
                <w:sz w:val="20"/>
                <w:szCs w:val="20"/>
              </w:rPr>
              <w:t>, в том числе в целях достижения результатов реализации региональн</w:t>
            </w:r>
            <w:r w:rsidR="004865FB">
              <w:rPr>
                <w:rFonts w:ascii="Times New Roman" w:hAnsi="Times New Roman" w:cs="Times New Roman"/>
                <w:sz w:val="20"/>
                <w:szCs w:val="20"/>
              </w:rPr>
              <w:t>ых</w:t>
            </w:r>
            <w:r w:rsidR="004865FB" w:rsidRPr="004865FB">
              <w:rPr>
                <w:rFonts w:ascii="Times New Roman" w:hAnsi="Times New Roman" w:cs="Times New Roman"/>
                <w:sz w:val="20"/>
                <w:szCs w:val="20"/>
              </w:rPr>
              <w:t xml:space="preserve"> проект</w:t>
            </w:r>
            <w:r w:rsidR="004865FB">
              <w:rPr>
                <w:rFonts w:ascii="Times New Roman" w:hAnsi="Times New Roman" w:cs="Times New Roman"/>
                <w:sz w:val="20"/>
                <w:szCs w:val="20"/>
              </w:rPr>
              <w:t>ов.</w:t>
            </w:r>
          </w:p>
        </w:tc>
      </w:tr>
      <w:tr w:rsidR="00210CD8" w:rsidRPr="00ED5ABC" w:rsidTr="00210CD8">
        <w:trPr>
          <w:cantSplit/>
          <w:trHeight w:val="1729"/>
        </w:trPr>
        <w:tc>
          <w:tcPr>
            <w:tcW w:w="1485" w:type="dxa"/>
          </w:tcPr>
          <w:p w:rsidR="00210CD8" w:rsidRPr="00EB60D4" w:rsidRDefault="00210CD8" w:rsidP="001D0F88">
            <w:pPr>
              <w:jc w:val="center"/>
              <w:rPr>
                <w:rFonts w:ascii="Times New Roman" w:hAnsi="Times New Roman" w:cs="Times New Roman"/>
                <w:sz w:val="20"/>
                <w:szCs w:val="20"/>
              </w:rPr>
            </w:pPr>
          </w:p>
        </w:tc>
        <w:tc>
          <w:tcPr>
            <w:tcW w:w="7128" w:type="dxa"/>
          </w:tcPr>
          <w:p w:rsidR="00210CD8" w:rsidRDefault="00210CD8" w:rsidP="00210CD8">
            <w:pPr>
              <w:pStyle w:val="ConsPlusNormal"/>
              <w:jc w:val="both"/>
            </w:pPr>
            <w:r>
              <w:t>н) представление в Департамент финансов автономного округа ежеквартально до 15-го числа месяца, следующего за отчетным кварталом, за год - до 20 января 2021 года пояснительной записки и аналитических материалов по исполнению бюджетных ассигнований, предусмотренных на реализацию государственных программ автономного округа и непрограммную деятельность, содержащих сведения о выполнении государственного задания и (или) иных результатах использования бюджетных ассигнований.</w:t>
            </w:r>
          </w:p>
        </w:tc>
        <w:tc>
          <w:tcPr>
            <w:tcW w:w="6663" w:type="dxa"/>
          </w:tcPr>
          <w:p w:rsidR="00FB1143" w:rsidRPr="00FB1143" w:rsidRDefault="004865FB" w:rsidP="00FB1143">
            <w:pPr>
              <w:ind w:firstLine="459"/>
              <w:jc w:val="both"/>
              <w:rPr>
                <w:rFonts w:ascii="Times New Roman" w:hAnsi="Times New Roman" w:cs="Times New Roman"/>
                <w:sz w:val="20"/>
                <w:szCs w:val="20"/>
              </w:rPr>
            </w:pPr>
            <w:r>
              <w:rPr>
                <w:rFonts w:ascii="Times New Roman" w:hAnsi="Times New Roman" w:cs="Times New Roman"/>
                <w:sz w:val="20"/>
                <w:szCs w:val="20"/>
              </w:rPr>
              <w:t>с</w:t>
            </w:r>
            <w:r w:rsidR="00FB1143" w:rsidRPr="00FB1143">
              <w:rPr>
                <w:rFonts w:ascii="Times New Roman" w:hAnsi="Times New Roman" w:cs="Times New Roman"/>
                <w:sz w:val="20"/>
                <w:szCs w:val="20"/>
              </w:rPr>
              <w:t xml:space="preserve"> нарушением срока </w:t>
            </w:r>
            <w:r w:rsidR="00FB1143">
              <w:rPr>
                <w:rFonts w:ascii="Times New Roman" w:hAnsi="Times New Roman" w:cs="Times New Roman"/>
                <w:sz w:val="20"/>
                <w:szCs w:val="20"/>
              </w:rPr>
              <w:t xml:space="preserve">была </w:t>
            </w:r>
            <w:r w:rsidR="00FB1143" w:rsidRPr="00FB1143">
              <w:rPr>
                <w:rFonts w:ascii="Times New Roman" w:hAnsi="Times New Roman" w:cs="Times New Roman"/>
                <w:sz w:val="20"/>
                <w:szCs w:val="20"/>
              </w:rPr>
              <w:t xml:space="preserve">представлена </w:t>
            </w:r>
            <w:r w:rsidR="00FB1143">
              <w:rPr>
                <w:rFonts w:ascii="Times New Roman" w:hAnsi="Times New Roman" w:cs="Times New Roman"/>
                <w:sz w:val="20"/>
                <w:szCs w:val="20"/>
              </w:rPr>
              <w:t xml:space="preserve">ежеквартально </w:t>
            </w:r>
            <w:r w:rsidR="00FB1143" w:rsidRPr="00FB1143">
              <w:rPr>
                <w:rFonts w:ascii="Times New Roman" w:hAnsi="Times New Roman" w:cs="Times New Roman"/>
                <w:sz w:val="20"/>
                <w:szCs w:val="20"/>
              </w:rPr>
              <w:t xml:space="preserve">информация Департаментом </w:t>
            </w:r>
            <w:r w:rsidR="00FB1143">
              <w:rPr>
                <w:rFonts w:ascii="Times New Roman" w:hAnsi="Times New Roman" w:cs="Times New Roman"/>
                <w:sz w:val="20"/>
                <w:szCs w:val="20"/>
              </w:rPr>
              <w:t>дорожного хозяйства и транспорта</w:t>
            </w:r>
            <w:r w:rsidR="00FB1143" w:rsidRPr="00FB1143">
              <w:rPr>
                <w:rFonts w:ascii="Times New Roman" w:hAnsi="Times New Roman" w:cs="Times New Roman"/>
                <w:sz w:val="20"/>
                <w:szCs w:val="20"/>
              </w:rPr>
              <w:t xml:space="preserve"> автономного округа</w:t>
            </w:r>
            <w:r w:rsidR="00FB1143">
              <w:rPr>
                <w:rFonts w:ascii="Times New Roman" w:hAnsi="Times New Roman" w:cs="Times New Roman"/>
                <w:sz w:val="20"/>
                <w:szCs w:val="20"/>
              </w:rPr>
              <w:t xml:space="preserve">, Департаментом информационных технологий автономного округа </w:t>
            </w:r>
            <w:r w:rsidR="00FB1143" w:rsidRPr="00FB1143">
              <w:rPr>
                <w:rFonts w:ascii="Times New Roman" w:hAnsi="Times New Roman" w:cs="Times New Roman"/>
                <w:sz w:val="20"/>
                <w:szCs w:val="20"/>
              </w:rPr>
              <w:t>за 202</w:t>
            </w:r>
            <w:r w:rsidR="00FB1143">
              <w:rPr>
                <w:rFonts w:ascii="Times New Roman" w:hAnsi="Times New Roman" w:cs="Times New Roman"/>
                <w:sz w:val="20"/>
                <w:szCs w:val="20"/>
              </w:rPr>
              <w:t>1</w:t>
            </w:r>
            <w:r w:rsidR="00FB1143" w:rsidRPr="00FB1143">
              <w:rPr>
                <w:rFonts w:ascii="Times New Roman" w:hAnsi="Times New Roman" w:cs="Times New Roman"/>
                <w:sz w:val="20"/>
                <w:szCs w:val="20"/>
              </w:rPr>
              <w:t xml:space="preserve"> год. </w:t>
            </w:r>
          </w:p>
          <w:p w:rsidR="00210CD8" w:rsidRPr="00952656" w:rsidRDefault="00FB1143" w:rsidP="00702EB0">
            <w:pPr>
              <w:ind w:firstLine="459"/>
              <w:jc w:val="both"/>
              <w:rPr>
                <w:rFonts w:ascii="Times New Roman" w:hAnsi="Times New Roman" w:cs="Times New Roman"/>
                <w:sz w:val="20"/>
                <w:szCs w:val="20"/>
              </w:rPr>
            </w:pPr>
            <w:r w:rsidRPr="00FB1143">
              <w:rPr>
                <w:rFonts w:ascii="Times New Roman" w:hAnsi="Times New Roman" w:cs="Times New Roman"/>
                <w:sz w:val="20"/>
                <w:szCs w:val="20"/>
              </w:rPr>
              <w:t xml:space="preserve">Остальные главные </w:t>
            </w:r>
            <w:r>
              <w:rPr>
                <w:rFonts w:ascii="Times New Roman" w:hAnsi="Times New Roman" w:cs="Times New Roman"/>
                <w:sz w:val="20"/>
                <w:szCs w:val="20"/>
              </w:rPr>
              <w:t xml:space="preserve">распорядители средств бюджета </w:t>
            </w:r>
            <w:r w:rsidRPr="00FB1143">
              <w:rPr>
                <w:rFonts w:ascii="Times New Roman" w:hAnsi="Times New Roman" w:cs="Times New Roman"/>
                <w:sz w:val="20"/>
                <w:szCs w:val="20"/>
              </w:rPr>
              <w:t xml:space="preserve">автономного округа направляли </w:t>
            </w:r>
            <w:r w:rsidR="00952656" w:rsidRPr="00292032">
              <w:rPr>
                <w:rFonts w:ascii="Times New Roman" w:hAnsi="Times New Roman" w:cs="Times New Roman"/>
                <w:sz w:val="20"/>
                <w:szCs w:val="20"/>
              </w:rPr>
              <w:t>пояснительн</w:t>
            </w:r>
            <w:r w:rsidR="00952656">
              <w:rPr>
                <w:rFonts w:ascii="Times New Roman" w:hAnsi="Times New Roman" w:cs="Times New Roman"/>
                <w:sz w:val="20"/>
                <w:szCs w:val="20"/>
              </w:rPr>
              <w:t>ые</w:t>
            </w:r>
            <w:r w:rsidR="00952656" w:rsidRPr="00292032">
              <w:rPr>
                <w:rFonts w:ascii="Times New Roman" w:hAnsi="Times New Roman" w:cs="Times New Roman"/>
                <w:sz w:val="20"/>
                <w:szCs w:val="20"/>
              </w:rPr>
              <w:t xml:space="preserve"> записк</w:t>
            </w:r>
            <w:r w:rsidR="00952656">
              <w:rPr>
                <w:rFonts w:ascii="Times New Roman" w:hAnsi="Times New Roman" w:cs="Times New Roman"/>
                <w:sz w:val="20"/>
                <w:szCs w:val="20"/>
              </w:rPr>
              <w:t>и</w:t>
            </w:r>
            <w:r w:rsidR="00952656" w:rsidRPr="00292032">
              <w:rPr>
                <w:rFonts w:ascii="Times New Roman" w:hAnsi="Times New Roman" w:cs="Times New Roman"/>
                <w:sz w:val="20"/>
                <w:szCs w:val="20"/>
              </w:rPr>
              <w:t xml:space="preserve"> и аналитически</w:t>
            </w:r>
            <w:r w:rsidR="00952656">
              <w:rPr>
                <w:rFonts w:ascii="Times New Roman" w:hAnsi="Times New Roman" w:cs="Times New Roman"/>
                <w:sz w:val="20"/>
                <w:szCs w:val="20"/>
              </w:rPr>
              <w:t>е</w:t>
            </w:r>
            <w:r w:rsidR="00952656" w:rsidRPr="00292032">
              <w:rPr>
                <w:rFonts w:ascii="Times New Roman" w:hAnsi="Times New Roman" w:cs="Times New Roman"/>
                <w:sz w:val="20"/>
                <w:szCs w:val="20"/>
              </w:rPr>
              <w:t xml:space="preserve"> материал</w:t>
            </w:r>
            <w:r w:rsidR="00952656">
              <w:rPr>
                <w:rFonts w:ascii="Times New Roman" w:hAnsi="Times New Roman" w:cs="Times New Roman"/>
                <w:sz w:val="20"/>
                <w:szCs w:val="20"/>
              </w:rPr>
              <w:t>ы</w:t>
            </w:r>
            <w:r w:rsidR="00952656" w:rsidRPr="00292032">
              <w:rPr>
                <w:rFonts w:ascii="Times New Roman" w:hAnsi="Times New Roman" w:cs="Times New Roman"/>
                <w:sz w:val="20"/>
                <w:szCs w:val="20"/>
              </w:rPr>
              <w:t xml:space="preserve"> по исполнению бюджетных ассигнований, предусмотренных на реализацию государственных программ автономного округа и непрограммную деятельность</w:t>
            </w:r>
            <w:r w:rsidR="00952656">
              <w:rPr>
                <w:rFonts w:ascii="Times New Roman" w:hAnsi="Times New Roman" w:cs="Times New Roman"/>
                <w:sz w:val="20"/>
                <w:szCs w:val="20"/>
              </w:rPr>
              <w:t xml:space="preserve">, </w:t>
            </w:r>
            <w:r w:rsidR="00952656" w:rsidRPr="00952656">
              <w:rPr>
                <w:rFonts w:ascii="Times New Roman" w:hAnsi="Times New Roman" w:cs="Times New Roman"/>
                <w:sz w:val="20"/>
                <w:szCs w:val="20"/>
              </w:rPr>
              <w:t>содержащи</w:t>
            </w:r>
            <w:r w:rsidR="00952656">
              <w:rPr>
                <w:rFonts w:ascii="Times New Roman" w:hAnsi="Times New Roman" w:cs="Times New Roman"/>
                <w:sz w:val="20"/>
                <w:szCs w:val="20"/>
              </w:rPr>
              <w:t>е</w:t>
            </w:r>
            <w:r w:rsidR="00952656" w:rsidRPr="00952656">
              <w:rPr>
                <w:rFonts w:ascii="Times New Roman" w:hAnsi="Times New Roman" w:cs="Times New Roman"/>
                <w:sz w:val="20"/>
                <w:szCs w:val="20"/>
              </w:rPr>
              <w:t xml:space="preserve"> сведения о выполнении государственного задания и (или) иных результатах использования бюджетных ассигнований</w:t>
            </w:r>
            <w:r w:rsidR="00952656">
              <w:rPr>
                <w:rFonts w:ascii="Times New Roman" w:hAnsi="Times New Roman" w:cs="Times New Roman"/>
                <w:sz w:val="20"/>
                <w:szCs w:val="20"/>
              </w:rPr>
              <w:t>, ежеквартально в установленные сроки в Департамент финансов автономного округа.</w:t>
            </w:r>
          </w:p>
        </w:tc>
      </w:tr>
      <w:tr w:rsidR="000E301B" w:rsidRPr="00ED5ABC" w:rsidTr="00210CD8">
        <w:trPr>
          <w:cantSplit/>
          <w:trHeight w:val="1414"/>
        </w:trPr>
        <w:tc>
          <w:tcPr>
            <w:tcW w:w="1485" w:type="dxa"/>
          </w:tcPr>
          <w:p w:rsidR="000E301B" w:rsidRPr="00EB60D4" w:rsidRDefault="00210CD8" w:rsidP="001D0F88">
            <w:pPr>
              <w:jc w:val="center"/>
              <w:rPr>
                <w:rFonts w:ascii="Times New Roman" w:hAnsi="Times New Roman" w:cs="Times New Roman"/>
                <w:sz w:val="20"/>
                <w:szCs w:val="20"/>
              </w:rPr>
            </w:pPr>
            <w:r>
              <w:rPr>
                <w:rFonts w:ascii="Times New Roman" w:hAnsi="Times New Roman" w:cs="Times New Roman"/>
                <w:sz w:val="20"/>
                <w:szCs w:val="20"/>
              </w:rPr>
              <w:t>4</w:t>
            </w:r>
            <w:r w:rsidR="000E301B" w:rsidRPr="00EB60D4">
              <w:rPr>
                <w:rFonts w:ascii="Times New Roman" w:hAnsi="Times New Roman" w:cs="Times New Roman"/>
                <w:sz w:val="20"/>
                <w:szCs w:val="20"/>
              </w:rPr>
              <w:t>.</w:t>
            </w:r>
          </w:p>
        </w:tc>
        <w:tc>
          <w:tcPr>
            <w:tcW w:w="7128" w:type="dxa"/>
          </w:tcPr>
          <w:p w:rsidR="000E301B" w:rsidRPr="00CD0338" w:rsidRDefault="00210CD8" w:rsidP="00210CD8">
            <w:pPr>
              <w:pStyle w:val="ConsPlusNormal"/>
              <w:jc w:val="both"/>
            </w:pPr>
            <w:r>
              <w:t>Ответственным исполнителям государственных программ, главным распорядителям средств бюджета автономного округа обеспечивать в приоритетном порядке софинансирование расходов, представленных из федерального бюджета в форме субсидий, иных межбюджетных трансфертов (при необходимости), на достижение целей, показателей и результатов федеральных проектов в составе национальных проектов.</w:t>
            </w:r>
          </w:p>
        </w:tc>
        <w:tc>
          <w:tcPr>
            <w:tcW w:w="6663" w:type="dxa"/>
          </w:tcPr>
          <w:p w:rsidR="00B54586" w:rsidRPr="00ED5ABC" w:rsidRDefault="001779BA" w:rsidP="00BE0446">
            <w:pPr>
              <w:ind w:firstLine="459"/>
              <w:jc w:val="both"/>
              <w:rPr>
                <w:rFonts w:ascii="Times New Roman" w:hAnsi="Times New Roman" w:cs="Times New Roman"/>
                <w:sz w:val="20"/>
                <w:szCs w:val="20"/>
                <w:highlight w:val="yellow"/>
              </w:rPr>
            </w:pPr>
            <w:r w:rsidRPr="00F41BFE">
              <w:rPr>
                <w:rFonts w:ascii="Times New Roman" w:hAnsi="Times New Roman" w:cs="Times New Roman"/>
                <w:color w:val="000000" w:themeColor="text1"/>
                <w:sz w:val="20"/>
                <w:szCs w:val="20"/>
              </w:rPr>
              <w:t>ответственными исполнителями государственных программ, главными распорядителями средств бюджета автономного округа обеспечено за счет средств бюджета автономного округа софинансирование расходов, представленных из федерального бюджета в форме субсидий</w:t>
            </w:r>
            <w:r w:rsidR="00F41BFE" w:rsidRPr="00F41BFE">
              <w:rPr>
                <w:rFonts w:ascii="Times New Roman" w:hAnsi="Times New Roman" w:cs="Times New Roman"/>
                <w:color w:val="000000" w:themeColor="text1"/>
                <w:sz w:val="20"/>
                <w:szCs w:val="20"/>
              </w:rPr>
              <w:t>, иных межбюджетных трансфертов</w:t>
            </w:r>
            <w:r w:rsidRPr="00F41BFE">
              <w:rPr>
                <w:rFonts w:ascii="Times New Roman" w:hAnsi="Times New Roman" w:cs="Times New Roman"/>
                <w:color w:val="000000" w:themeColor="text1"/>
                <w:sz w:val="20"/>
                <w:szCs w:val="20"/>
              </w:rPr>
              <w:t xml:space="preserve"> на достижение целей, показателей и результатов федеральных проектов в составе национальных проектов, в сумме </w:t>
            </w:r>
            <w:r w:rsidR="00F41BFE" w:rsidRPr="00F41BFE">
              <w:rPr>
                <w:rFonts w:ascii="Times New Roman" w:hAnsi="Times New Roman" w:cs="Times New Roman"/>
                <w:color w:val="000000" w:themeColor="text1"/>
                <w:sz w:val="20"/>
                <w:szCs w:val="20"/>
              </w:rPr>
              <w:t>3</w:t>
            </w:r>
            <w:r w:rsidRPr="00F41BFE">
              <w:rPr>
                <w:rFonts w:ascii="Times New Roman" w:hAnsi="Times New Roman" w:cs="Times New Roman"/>
                <w:color w:val="000000" w:themeColor="text1"/>
                <w:sz w:val="20"/>
                <w:szCs w:val="20"/>
              </w:rPr>
              <w:t> </w:t>
            </w:r>
            <w:r w:rsidR="00F41BFE" w:rsidRPr="00F41BFE">
              <w:rPr>
                <w:rFonts w:ascii="Times New Roman" w:hAnsi="Times New Roman" w:cs="Times New Roman"/>
                <w:color w:val="000000" w:themeColor="text1"/>
                <w:sz w:val="20"/>
                <w:szCs w:val="20"/>
              </w:rPr>
              <w:t>700</w:t>
            </w:r>
            <w:r w:rsidRPr="00F41BFE">
              <w:rPr>
                <w:rFonts w:ascii="Times New Roman" w:hAnsi="Times New Roman" w:cs="Times New Roman"/>
                <w:color w:val="000000" w:themeColor="text1"/>
                <w:sz w:val="20"/>
                <w:szCs w:val="20"/>
              </w:rPr>
              <w:t>,</w:t>
            </w:r>
            <w:r w:rsidR="00F41BFE" w:rsidRPr="00F41BFE">
              <w:rPr>
                <w:rFonts w:ascii="Times New Roman" w:hAnsi="Times New Roman" w:cs="Times New Roman"/>
                <w:color w:val="000000" w:themeColor="text1"/>
                <w:sz w:val="20"/>
                <w:szCs w:val="20"/>
              </w:rPr>
              <w:t>4</w:t>
            </w:r>
            <w:r w:rsidR="003519F2">
              <w:rPr>
                <w:rFonts w:ascii="Times New Roman" w:hAnsi="Times New Roman" w:cs="Times New Roman"/>
                <w:color w:val="000000" w:themeColor="text1"/>
                <w:sz w:val="20"/>
                <w:szCs w:val="20"/>
              </w:rPr>
              <w:t xml:space="preserve"> млн</w:t>
            </w:r>
            <w:r w:rsidRPr="00F41BFE">
              <w:rPr>
                <w:rFonts w:ascii="Times New Roman" w:hAnsi="Times New Roman" w:cs="Times New Roman"/>
                <w:color w:val="000000" w:themeColor="text1"/>
                <w:sz w:val="20"/>
                <w:szCs w:val="20"/>
              </w:rPr>
              <w:t xml:space="preserve"> рублей.</w:t>
            </w:r>
          </w:p>
        </w:tc>
      </w:tr>
      <w:tr w:rsidR="000A4633" w:rsidRPr="00ED5ABC" w:rsidTr="00210CD8">
        <w:trPr>
          <w:cantSplit/>
          <w:trHeight w:val="1414"/>
        </w:trPr>
        <w:tc>
          <w:tcPr>
            <w:tcW w:w="1485" w:type="dxa"/>
          </w:tcPr>
          <w:p w:rsidR="000A4633" w:rsidRDefault="000A4633" w:rsidP="001D0F88">
            <w:pPr>
              <w:jc w:val="center"/>
              <w:rPr>
                <w:rFonts w:ascii="Times New Roman" w:hAnsi="Times New Roman" w:cs="Times New Roman"/>
                <w:sz w:val="20"/>
                <w:szCs w:val="20"/>
              </w:rPr>
            </w:pPr>
            <w:r>
              <w:rPr>
                <w:rFonts w:ascii="Times New Roman" w:hAnsi="Times New Roman" w:cs="Times New Roman"/>
                <w:sz w:val="20"/>
                <w:szCs w:val="20"/>
              </w:rPr>
              <w:t>5.</w:t>
            </w:r>
          </w:p>
        </w:tc>
        <w:tc>
          <w:tcPr>
            <w:tcW w:w="7128" w:type="dxa"/>
          </w:tcPr>
          <w:p w:rsidR="000A4633" w:rsidRDefault="000A4633" w:rsidP="00210CD8">
            <w:pPr>
              <w:pStyle w:val="ConsPlusNormal"/>
              <w:jc w:val="both"/>
            </w:pPr>
            <w:r>
              <w:t xml:space="preserve">Установить, что заключение и оплата получателями средств бюджета автономного округа государственных контрактов и иных обязательств, исполнение которых осуществляется за счет средств бюджета автономного округа, в 2020 году осуществляются </w:t>
            </w:r>
            <w:proofErr w:type="gramStart"/>
            <w:r>
              <w:t>в пределах</w:t>
            </w:r>
            <w:proofErr w:type="gramEnd"/>
            <w:r>
              <w:t xml:space="preserve"> доведенных до них лимитов бюджетных обязательств в соответствии с бюджетной классификацией Российской Федерации с учетом принятых и неисполненных обязательств.</w:t>
            </w:r>
          </w:p>
        </w:tc>
        <w:tc>
          <w:tcPr>
            <w:tcW w:w="6663" w:type="dxa"/>
          </w:tcPr>
          <w:p w:rsidR="000A4633" w:rsidRPr="00356494" w:rsidRDefault="00AB5DC9" w:rsidP="00AB5DC9">
            <w:pPr>
              <w:ind w:firstLine="459"/>
              <w:jc w:val="both"/>
              <w:rPr>
                <w:rFonts w:ascii="Times New Roman" w:hAnsi="Times New Roman" w:cs="Times New Roman"/>
                <w:sz w:val="20"/>
                <w:szCs w:val="20"/>
              </w:rPr>
            </w:pPr>
            <w:r>
              <w:rPr>
                <w:rFonts w:ascii="Times New Roman" w:hAnsi="Times New Roman" w:cs="Times New Roman"/>
                <w:sz w:val="20"/>
                <w:szCs w:val="20"/>
              </w:rPr>
              <w:t>з</w:t>
            </w:r>
            <w:r w:rsidRPr="00AB5DC9">
              <w:rPr>
                <w:rFonts w:ascii="Times New Roman" w:hAnsi="Times New Roman" w:cs="Times New Roman"/>
                <w:sz w:val="20"/>
                <w:szCs w:val="20"/>
              </w:rPr>
              <w:t xml:space="preserve">аключение и оплата получателями средств бюджета автономного округа государственных контрактов и иных обязательств осуществлялась </w:t>
            </w:r>
            <w:proofErr w:type="gramStart"/>
            <w:r w:rsidRPr="00AB5DC9">
              <w:rPr>
                <w:rFonts w:ascii="Times New Roman" w:hAnsi="Times New Roman" w:cs="Times New Roman"/>
                <w:sz w:val="20"/>
                <w:szCs w:val="20"/>
              </w:rPr>
              <w:t>в пределах</w:t>
            </w:r>
            <w:proofErr w:type="gramEnd"/>
            <w:r w:rsidRPr="00AB5DC9">
              <w:rPr>
                <w:rFonts w:ascii="Times New Roman" w:hAnsi="Times New Roman" w:cs="Times New Roman"/>
                <w:sz w:val="20"/>
                <w:szCs w:val="20"/>
              </w:rPr>
              <w:t xml:space="preserve"> доведенных до них лимитов бюджетных обязательств в соответствии с бюджетной классификацией Российской Федерации с учетом принятых и неисполненных обязательств.</w:t>
            </w:r>
          </w:p>
        </w:tc>
      </w:tr>
      <w:tr w:rsidR="007F51B8" w:rsidTr="0031014C">
        <w:trPr>
          <w:cantSplit/>
        </w:trPr>
        <w:tc>
          <w:tcPr>
            <w:tcW w:w="1485" w:type="dxa"/>
            <w:vMerge w:val="restart"/>
          </w:tcPr>
          <w:p w:rsidR="007F51B8" w:rsidRPr="00EB60D4" w:rsidRDefault="000A4633" w:rsidP="000A4633">
            <w:pPr>
              <w:jc w:val="center"/>
              <w:rPr>
                <w:rFonts w:ascii="Times New Roman" w:hAnsi="Times New Roman" w:cs="Times New Roman"/>
                <w:sz w:val="20"/>
                <w:szCs w:val="20"/>
              </w:rPr>
            </w:pPr>
            <w:r>
              <w:rPr>
                <w:rFonts w:ascii="Times New Roman" w:hAnsi="Times New Roman" w:cs="Times New Roman"/>
                <w:sz w:val="20"/>
                <w:szCs w:val="20"/>
              </w:rPr>
              <w:t>6</w:t>
            </w:r>
            <w:r w:rsidR="007F51B8" w:rsidRPr="00EB60D4">
              <w:rPr>
                <w:rFonts w:ascii="Times New Roman" w:hAnsi="Times New Roman" w:cs="Times New Roman"/>
                <w:sz w:val="20"/>
                <w:szCs w:val="20"/>
              </w:rPr>
              <w:t>.</w:t>
            </w:r>
          </w:p>
        </w:tc>
        <w:tc>
          <w:tcPr>
            <w:tcW w:w="7128" w:type="dxa"/>
            <w:tcBorders>
              <w:bottom w:val="single" w:sz="4" w:space="0" w:color="auto"/>
            </w:tcBorders>
          </w:tcPr>
          <w:p w:rsidR="007F51B8" w:rsidRPr="002B57CB" w:rsidRDefault="007F51B8" w:rsidP="002B57CB">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Установить, что государственные заказчики:</w:t>
            </w:r>
          </w:p>
        </w:tc>
        <w:tc>
          <w:tcPr>
            <w:tcW w:w="6663" w:type="dxa"/>
          </w:tcPr>
          <w:p w:rsidR="007F51B8" w:rsidRPr="001D0F88" w:rsidRDefault="007F51B8" w:rsidP="00047C87">
            <w:pPr>
              <w:autoSpaceDE w:val="0"/>
              <w:autoSpaceDN w:val="0"/>
              <w:adjustRightInd w:val="0"/>
              <w:ind w:left="34"/>
              <w:jc w:val="both"/>
              <w:rPr>
                <w:rFonts w:ascii="Times New Roman" w:hAnsi="Times New Roman" w:cs="Times New Roman"/>
                <w:sz w:val="20"/>
                <w:szCs w:val="20"/>
              </w:rPr>
            </w:pPr>
          </w:p>
        </w:tc>
      </w:tr>
      <w:tr w:rsidR="007F51B8" w:rsidTr="0031014C">
        <w:trPr>
          <w:cantSplit/>
        </w:trPr>
        <w:tc>
          <w:tcPr>
            <w:tcW w:w="1485" w:type="dxa"/>
            <w:vMerge/>
          </w:tcPr>
          <w:p w:rsidR="007F51B8" w:rsidRDefault="007F51B8" w:rsidP="007F3D11">
            <w:pPr>
              <w:jc w:val="center"/>
              <w:rPr>
                <w:rFonts w:ascii="Times New Roman" w:hAnsi="Times New Roman" w:cs="Times New Roman"/>
                <w:sz w:val="20"/>
                <w:szCs w:val="20"/>
              </w:rPr>
            </w:pPr>
          </w:p>
        </w:tc>
        <w:tc>
          <w:tcPr>
            <w:tcW w:w="7128" w:type="dxa"/>
            <w:tcBorders>
              <w:bottom w:val="single" w:sz="4" w:space="0" w:color="auto"/>
            </w:tcBorders>
          </w:tcPr>
          <w:p w:rsidR="007F51B8" w:rsidRPr="002B57CB" w:rsidRDefault="007F51B8" w:rsidP="000A4633">
            <w:pPr>
              <w:pStyle w:val="ConsPlusNormal"/>
              <w:jc w:val="both"/>
            </w:pPr>
            <w:r>
              <w:t xml:space="preserve">а) </w:t>
            </w:r>
            <w:r w:rsidR="000A4633">
              <w:t>осуществляют оплату по заключенным договорам (контрактам) о поставке товаров, выполнении работ, оказании услуг и аренде имущества для государственных нужд после подтверждения поставки товаров, выполнения (оказания) предусмотренных указанными договорами (контрактами) работ (услуг), их этапов, если возможность авансовых платежей не установлена актами Правительства автономного округа;</w:t>
            </w:r>
          </w:p>
        </w:tc>
        <w:tc>
          <w:tcPr>
            <w:tcW w:w="6663" w:type="dxa"/>
          </w:tcPr>
          <w:p w:rsidR="007F51B8" w:rsidRPr="007F3D11" w:rsidRDefault="00AB5DC9" w:rsidP="00AB5DC9">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о</w:t>
            </w:r>
            <w:r w:rsidRPr="00AB5DC9">
              <w:rPr>
                <w:rFonts w:ascii="Times New Roman" w:hAnsi="Times New Roman" w:cs="Times New Roman"/>
                <w:sz w:val="20"/>
                <w:szCs w:val="20"/>
              </w:rPr>
              <w:t>плата по заключенным договорам (кон</w:t>
            </w:r>
            <w:r>
              <w:rPr>
                <w:rFonts w:ascii="Times New Roman" w:hAnsi="Times New Roman" w:cs="Times New Roman"/>
                <w:sz w:val="20"/>
                <w:szCs w:val="20"/>
              </w:rPr>
              <w:t>трактам) о поставке товаров, вы</w:t>
            </w:r>
            <w:r w:rsidRPr="00AB5DC9">
              <w:rPr>
                <w:rFonts w:ascii="Times New Roman" w:hAnsi="Times New Roman" w:cs="Times New Roman"/>
                <w:sz w:val="20"/>
                <w:szCs w:val="20"/>
              </w:rPr>
              <w:t xml:space="preserve">полнении работ, оказании услуг и аренде имущества для </w:t>
            </w:r>
            <w:proofErr w:type="spellStart"/>
            <w:proofErr w:type="gramStart"/>
            <w:r w:rsidRPr="00AB5DC9">
              <w:rPr>
                <w:rFonts w:ascii="Times New Roman" w:hAnsi="Times New Roman" w:cs="Times New Roman"/>
                <w:sz w:val="20"/>
                <w:szCs w:val="20"/>
              </w:rPr>
              <w:t>государствен-ных</w:t>
            </w:r>
            <w:proofErr w:type="spellEnd"/>
            <w:proofErr w:type="gramEnd"/>
            <w:r w:rsidRPr="00AB5DC9">
              <w:rPr>
                <w:rFonts w:ascii="Times New Roman" w:hAnsi="Times New Roman" w:cs="Times New Roman"/>
                <w:sz w:val="20"/>
                <w:szCs w:val="20"/>
              </w:rPr>
              <w:t xml:space="preserve"> нужд осуществлялась после подтверждения поставки товаров, вы-</w:t>
            </w:r>
            <w:proofErr w:type="spellStart"/>
            <w:r w:rsidRPr="00AB5DC9">
              <w:rPr>
                <w:rFonts w:ascii="Times New Roman" w:hAnsi="Times New Roman" w:cs="Times New Roman"/>
                <w:sz w:val="20"/>
                <w:szCs w:val="20"/>
              </w:rPr>
              <w:t>полнения</w:t>
            </w:r>
            <w:proofErr w:type="spellEnd"/>
            <w:r w:rsidRPr="00AB5DC9">
              <w:rPr>
                <w:rFonts w:ascii="Times New Roman" w:hAnsi="Times New Roman" w:cs="Times New Roman"/>
                <w:sz w:val="20"/>
                <w:szCs w:val="20"/>
              </w:rPr>
              <w:t xml:space="preserve"> (оказания) предусмотренных указанными договорами (</w:t>
            </w:r>
            <w:proofErr w:type="spellStart"/>
            <w:r w:rsidRPr="00AB5DC9">
              <w:rPr>
                <w:rFonts w:ascii="Times New Roman" w:hAnsi="Times New Roman" w:cs="Times New Roman"/>
                <w:sz w:val="20"/>
                <w:szCs w:val="20"/>
              </w:rPr>
              <w:t>контрак-тами</w:t>
            </w:r>
            <w:proofErr w:type="spellEnd"/>
            <w:r w:rsidRPr="00AB5DC9">
              <w:rPr>
                <w:rFonts w:ascii="Times New Roman" w:hAnsi="Times New Roman" w:cs="Times New Roman"/>
                <w:sz w:val="20"/>
                <w:szCs w:val="20"/>
              </w:rPr>
              <w:t>) работ (услуг), их этапов в соответствии с условиями договоров (кон-трактов).</w:t>
            </w:r>
          </w:p>
        </w:tc>
      </w:tr>
      <w:tr w:rsidR="007F51B8" w:rsidTr="002D66BA">
        <w:trPr>
          <w:cantSplit/>
        </w:trPr>
        <w:tc>
          <w:tcPr>
            <w:tcW w:w="1485" w:type="dxa"/>
            <w:vMerge/>
            <w:tcBorders>
              <w:bottom w:val="nil"/>
            </w:tcBorders>
          </w:tcPr>
          <w:p w:rsidR="007F51B8" w:rsidRDefault="007F51B8" w:rsidP="007F3D11">
            <w:pPr>
              <w:jc w:val="center"/>
              <w:rPr>
                <w:rFonts w:ascii="Times New Roman" w:hAnsi="Times New Roman" w:cs="Times New Roman"/>
                <w:sz w:val="20"/>
                <w:szCs w:val="20"/>
              </w:rPr>
            </w:pPr>
          </w:p>
        </w:tc>
        <w:tc>
          <w:tcPr>
            <w:tcW w:w="7128" w:type="dxa"/>
            <w:tcBorders>
              <w:bottom w:val="single" w:sz="4" w:space="0" w:color="auto"/>
            </w:tcBorders>
          </w:tcPr>
          <w:p w:rsidR="007F51B8" w:rsidRDefault="000A4633" w:rsidP="00E82A58">
            <w:pPr>
              <w:autoSpaceDE w:val="0"/>
              <w:autoSpaceDN w:val="0"/>
              <w:adjustRightInd w:val="0"/>
              <w:jc w:val="both"/>
              <w:rPr>
                <w:rFonts w:ascii="Times New Roman" w:hAnsi="Times New Roman" w:cs="Times New Roman"/>
                <w:sz w:val="20"/>
                <w:szCs w:val="20"/>
              </w:rPr>
            </w:pPr>
            <w:r w:rsidRPr="000A4633">
              <w:rPr>
                <w:rFonts w:ascii="Times New Roman" w:hAnsi="Times New Roman" w:cs="Times New Roman"/>
                <w:sz w:val="20"/>
                <w:szCs w:val="20"/>
              </w:rPr>
              <w:t xml:space="preserve">б) вправе предусматривать авансовый платеж в размере до 100 процентов от суммы договора (контракта) - о закупке печатных и электронных изданий (в том числе о подписке на периодические печатные и электронные издания, об оказании услуг по предоставлению доступа к электронным изданиям), о закупке (изготовлении) бланков строгой отчетности; об обучении на курсах повышения квалификации, курсах профессиональной переподготовки; об участии в семинарах, совещаниях, форумах, конференциях; о приобретении продукции (товаров) для обеспечения поставки в районы и населенные пункты на территории автономного округа с ограниченными сроками завоза грузов; о предоставлении грантов, присужденных по итогам конкурсов автономного округа; по обязательному страхованию лиц, замещающих государственные должности автономного округа, лиц, замещающих должности государственной гражданской службы автономного округа; об оказании услуг, связанных с направлением в служебную командировку (проезд к месту служебной командировки и обратно, наем жилого помещения, транспортное обслуживание, обеспечение питанием); по обязательному страхованию гражданской ответственности владельцев транспортных средств; об оказании услуг по организации эмиссии, обращения, выкупа и погашения государственных облигаций автономного округа; депозитарных услуг по государственным облигациям автономного округа; об оказании услуг по поддержанию государственных облигаций автономного округа, допущенных к торгам биржи, в соответствующем разделе списка ценных бумаг; о предоставлении федеральными учреждениями услуг государственного контроля (надзора) за соблюдением требований технических регламентов, о предоставлении услуг почтовой связи; о закупке товаров (работ, услуг) для государственных нужд в целях реализации мероприятий по предупреждению завоза и распространения новой </w:t>
            </w:r>
            <w:proofErr w:type="spellStart"/>
            <w:r w:rsidRPr="000A4633">
              <w:rPr>
                <w:rFonts w:ascii="Times New Roman" w:hAnsi="Times New Roman" w:cs="Times New Roman"/>
                <w:sz w:val="20"/>
                <w:szCs w:val="20"/>
              </w:rPr>
              <w:t>коронавирусной</w:t>
            </w:r>
            <w:proofErr w:type="spellEnd"/>
            <w:r w:rsidRPr="000A4633">
              <w:rPr>
                <w:rFonts w:ascii="Times New Roman" w:hAnsi="Times New Roman" w:cs="Times New Roman"/>
                <w:sz w:val="20"/>
                <w:szCs w:val="20"/>
              </w:rPr>
              <w:t xml:space="preserve"> инфекции (COVID-2019) на период введения в автономном округе режима повышенной готовности или введения чрезвычайной ситуации, связанной с риском распространения новой </w:t>
            </w:r>
            <w:proofErr w:type="spellStart"/>
            <w:r w:rsidRPr="000A4633">
              <w:rPr>
                <w:rFonts w:ascii="Times New Roman" w:hAnsi="Times New Roman" w:cs="Times New Roman"/>
                <w:sz w:val="20"/>
                <w:szCs w:val="20"/>
              </w:rPr>
              <w:t>коронавирусной</w:t>
            </w:r>
            <w:proofErr w:type="spellEnd"/>
            <w:r w:rsidRPr="000A4633">
              <w:rPr>
                <w:rFonts w:ascii="Times New Roman" w:hAnsi="Times New Roman" w:cs="Times New Roman"/>
                <w:sz w:val="20"/>
                <w:szCs w:val="20"/>
              </w:rPr>
              <w:t xml:space="preserve"> инфекции (COVID-2019);</w:t>
            </w:r>
          </w:p>
        </w:tc>
        <w:tc>
          <w:tcPr>
            <w:tcW w:w="6663" w:type="dxa"/>
          </w:tcPr>
          <w:p w:rsidR="007F51B8" w:rsidRPr="007F3D11" w:rsidRDefault="00AB5DC9" w:rsidP="009C203F">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а</w:t>
            </w:r>
            <w:r w:rsidRPr="00AB5DC9">
              <w:rPr>
                <w:rFonts w:ascii="Times New Roman" w:hAnsi="Times New Roman" w:cs="Times New Roman"/>
                <w:sz w:val="20"/>
                <w:szCs w:val="20"/>
              </w:rPr>
              <w:t>вансовые платежи в размере до 100 процентов от суммы договора (контракта) предусматривались только в случаях выполнения работ и оказания услуг, предусмотренных настоящим подпунктом.</w:t>
            </w:r>
          </w:p>
        </w:tc>
      </w:tr>
      <w:tr w:rsidR="007F51B8" w:rsidTr="002D66BA">
        <w:trPr>
          <w:cantSplit/>
        </w:trPr>
        <w:tc>
          <w:tcPr>
            <w:tcW w:w="1485" w:type="dxa"/>
            <w:vMerge w:val="restart"/>
            <w:tcBorders>
              <w:top w:val="nil"/>
            </w:tcBorders>
          </w:tcPr>
          <w:p w:rsidR="007F51B8" w:rsidRDefault="007F51B8" w:rsidP="007F3D11">
            <w:pPr>
              <w:jc w:val="center"/>
              <w:rPr>
                <w:rFonts w:ascii="Times New Roman" w:hAnsi="Times New Roman" w:cs="Times New Roman"/>
                <w:sz w:val="20"/>
                <w:szCs w:val="20"/>
              </w:rPr>
            </w:pPr>
          </w:p>
        </w:tc>
        <w:tc>
          <w:tcPr>
            <w:tcW w:w="7128" w:type="dxa"/>
            <w:tcBorders>
              <w:bottom w:val="single" w:sz="4" w:space="0" w:color="auto"/>
            </w:tcBorders>
          </w:tcPr>
          <w:p w:rsidR="007F51B8" w:rsidRDefault="007F51B8" w:rsidP="00873C48">
            <w:pPr>
              <w:pStyle w:val="ConsPlusNormal"/>
              <w:jc w:val="both"/>
            </w:pPr>
            <w:r>
              <w:t xml:space="preserve">в) </w:t>
            </w:r>
            <w:r w:rsidR="00873C48">
              <w:t>вправе предусматривать авансовый платеж в размере, не превышающем 50 процентов от суммы договора (контракта) о поставке товаров, выполнении работ, оказании услуг для государственных нужд при осуществлении закупки в учреждениях и предприятиях уголовно-исполнительной системы;</w:t>
            </w:r>
          </w:p>
        </w:tc>
        <w:tc>
          <w:tcPr>
            <w:tcW w:w="6663" w:type="dxa"/>
          </w:tcPr>
          <w:p w:rsidR="007F51B8" w:rsidRPr="007F3D11" w:rsidRDefault="00AB5DC9" w:rsidP="00AB5DC9">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а</w:t>
            </w:r>
            <w:r w:rsidRPr="00AB5DC9">
              <w:rPr>
                <w:rFonts w:ascii="Times New Roman" w:hAnsi="Times New Roman" w:cs="Times New Roman"/>
                <w:sz w:val="20"/>
                <w:szCs w:val="20"/>
              </w:rPr>
              <w:t>вансовые платежи в размере до 50 п</w:t>
            </w:r>
            <w:r>
              <w:rPr>
                <w:rFonts w:ascii="Times New Roman" w:hAnsi="Times New Roman" w:cs="Times New Roman"/>
                <w:sz w:val="20"/>
                <w:szCs w:val="20"/>
              </w:rPr>
              <w:t>роцентов от суммы договора (кон</w:t>
            </w:r>
            <w:r w:rsidRPr="00AB5DC9">
              <w:rPr>
                <w:rFonts w:ascii="Times New Roman" w:hAnsi="Times New Roman" w:cs="Times New Roman"/>
                <w:sz w:val="20"/>
                <w:szCs w:val="20"/>
              </w:rPr>
              <w:t>тракта) предусматривались только в случаях выполнения работ и оказания услуг, предусмотренных настоящим подпунктом.</w:t>
            </w:r>
          </w:p>
        </w:tc>
      </w:tr>
      <w:tr w:rsidR="007F51B8" w:rsidTr="0031014C">
        <w:trPr>
          <w:cantSplit/>
        </w:trPr>
        <w:tc>
          <w:tcPr>
            <w:tcW w:w="1485" w:type="dxa"/>
            <w:vMerge/>
          </w:tcPr>
          <w:p w:rsidR="007F51B8" w:rsidRDefault="007F51B8" w:rsidP="007F51B8">
            <w:pPr>
              <w:jc w:val="center"/>
              <w:rPr>
                <w:rFonts w:ascii="Times New Roman" w:hAnsi="Times New Roman" w:cs="Times New Roman"/>
                <w:sz w:val="20"/>
                <w:szCs w:val="20"/>
              </w:rPr>
            </w:pPr>
          </w:p>
        </w:tc>
        <w:tc>
          <w:tcPr>
            <w:tcW w:w="7128" w:type="dxa"/>
            <w:tcBorders>
              <w:bottom w:val="single" w:sz="4" w:space="0" w:color="auto"/>
            </w:tcBorders>
          </w:tcPr>
          <w:p w:rsidR="007F51B8" w:rsidRDefault="007F51B8" w:rsidP="00873C48">
            <w:pPr>
              <w:pStyle w:val="ConsPlusNormal"/>
              <w:jc w:val="both"/>
            </w:pPr>
            <w:r>
              <w:t xml:space="preserve">г) </w:t>
            </w:r>
            <w:r w:rsidR="00873C48">
              <w:t>вправе предусматривать авансовый платеж в размере, не превышающем 30 процентов от суммы договора (контракта) о предоставлении услуг связи (за исключением почтовой), об оказании услуг по организации спортивно-тренировочных смен в детских лагерях и организации питания в лагерях с дневным пребыванием детей, приобретении путевок в организации отдыха детей и их оздоровления, организации и проведению федеральных (общероссийских) и международных мероприятий;</w:t>
            </w:r>
          </w:p>
        </w:tc>
        <w:tc>
          <w:tcPr>
            <w:tcW w:w="6663" w:type="dxa"/>
          </w:tcPr>
          <w:p w:rsidR="007F51B8" w:rsidRPr="001D0F88" w:rsidRDefault="00AB5DC9" w:rsidP="00AB5DC9">
            <w:pPr>
              <w:autoSpaceDE w:val="0"/>
              <w:autoSpaceDN w:val="0"/>
              <w:adjustRightInd w:val="0"/>
              <w:ind w:left="34" w:firstLine="459"/>
              <w:jc w:val="both"/>
              <w:rPr>
                <w:rFonts w:ascii="Times New Roman" w:hAnsi="Times New Roman" w:cs="Times New Roman"/>
                <w:sz w:val="20"/>
                <w:szCs w:val="20"/>
              </w:rPr>
            </w:pPr>
            <w:r>
              <w:rPr>
                <w:rFonts w:ascii="Times New Roman" w:hAnsi="Times New Roman" w:cs="Times New Roman"/>
                <w:sz w:val="20"/>
                <w:szCs w:val="20"/>
              </w:rPr>
              <w:t>а</w:t>
            </w:r>
            <w:r w:rsidRPr="00AB5DC9">
              <w:rPr>
                <w:rFonts w:ascii="Times New Roman" w:hAnsi="Times New Roman" w:cs="Times New Roman"/>
                <w:sz w:val="20"/>
                <w:szCs w:val="20"/>
              </w:rPr>
              <w:t>вансовые платежи в размере до 30 процентов от суммы договора (контракта) предусматривались только в случаях выполнения работ и оказания услуг, предусмотренных настоящим подпунктом.</w:t>
            </w:r>
          </w:p>
        </w:tc>
      </w:tr>
      <w:tr w:rsidR="007F51B8" w:rsidTr="0031014C">
        <w:trPr>
          <w:cantSplit/>
        </w:trPr>
        <w:tc>
          <w:tcPr>
            <w:tcW w:w="1485" w:type="dxa"/>
            <w:vMerge/>
            <w:tcBorders>
              <w:bottom w:val="single" w:sz="4" w:space="0" w:color="auto"/>
            </w:tcBorders>
          </w:tcPr>
          <w:p w:rsidR="007F51B8" w:rsidRDefault="007F51B8" w:rsidP="007F51B8">
            <w:pPr>
              <w:jc w:val="center"/>
              <w:rPr>
                <w:rFonts w:ascii="Times New Roman" w:hAnsi="Times New Roman" w:cs="Times New Roman"/>
                <w:sz w:val="20"/>
                <w:szCs w:val="20"/>
              </w:rPr>
            </w:pPr>
          </w:p>
        </w:tc>
        <w:tc>
          <w:tcPr>
            <w:tcW w:w="7128" w:type="dxa"/>
            <w:tcBorders>
              <w:bottom w:val="single" w:sz="4" w:space="0" w:color="auto"/>
            </w:tcBorders>
          </w:tcPr>
          <w:p w:rsidR="007F51B8" w:rsidRDefault="007F51B8" w:rsidP="00873C48">
            <w:pPr>
              <w:pStyle w:val="ConsPlusNormal"/>
              <w:jc w:val="both"/>
            </w:pPr>
            <w:r>
              <w:t xml:space="preserve">д) </w:t>
            </w:r>
            <w:r w:rsidR="00873C48">
              <w:t xml:space="preserve">вправе осуществлять оплату по договорам (контрактам) энергоснабжения, технологического присоединения </w:t>
            </w:r>
            <w:proofErr w:type="spellStart"/>
            <w:r w:rsidR="00873C48">
              <w:t>энергопринимающих</w:t>
            </w:r>
            <w:proofErr w:type="spellEnd"/>
            <w:r w:rsidR="00873C48">
              <w:t xml:space="preserve"> устройств электрической энергии, теплоснабжения, газоснабжения, холодного водоснабжения и водоотведения, проведения государственной экспертизы проектной документации и результатов инженерных изысканий, а также проведения государственной экологической экспертизы в соответствии с нормативными правовыми актами Российской Федерации.</w:t>
            </w:r>
          </w:p>
        </w:tc>
        <w:tc>
          <w:tcPr>
            <w:tcW w:w="6663" w:type="dxa"/>
            <w:tcBorders>
              <w:bottom w:val="single" w:sz="4" w:space="0" w:color="auto"/>
            </w:tcBorders>
          </w:tcPr>
          <w:p w:rsidR="007F51B8" w:rsidRPr="007F3D11" w:rsidRDefault="00AB5DC9" w:rsidP="00AB5DC9">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о</w:t>
            </w:r>
            <w:r w:rsidRPr="00AB5DC9">
              <w:rPr>
                <w:rFonts w:ascii="Times New Roman" w:hAnsi="Times New Roman" w:cs="Times New Roman"/>
                <w:sz w:val="20"/>
                <w:szCs w:val="20"/>
              </w:rPr>
              <w:t xml:space="preserve">плата по договорам (контрактам) энергоснабжения, технологического присоединения </w:t>
            </w:r>
            <w:proofErr w:type="spellStart"/>
            <w:r w:rsidRPr="00AB5DC9">
              <w:rPr>
                <w:rFonts w:ascii="Times New Roman" w:hAnsi="Times New Roman" w:cs="Times New Roman"/>
                <w:sz w:val="20"/>
                <w:szCs w:val="20"/>
              </w:rPr>
              <w:t>энергопринимающих</w:t>
            </w:r>
            <w:proofErr w:type="spellEnd"/>
            <w:r w:rsidRPr="00AB5DC9">
              <w:rPr>
                <w:rFonts w:ascii="Times New Roman" w:hAnsi="Times New Roman" w:cs="Times New Roman"/>
                <w:sz w:val="20"/>
                <w:szCs w:val="20"/>
              </w:rPr>
              <w:t xml:space="preserve"> устройств электрической энергии, теплоснабжения, газоснабжения, холодного водоснабжения и водоотведения, проведения государственной экспертизы проектной документации и результатов инженерных изысканий, </w:t>
            </w:r>
            <w:r>
              <w:rPr>
                <w:rFonts w:ascii="Times New Roman" w:hAnsi="Times New Roman" w:cs="Times New Roman"/>
                <w:sz w:val="20"/>
                <w:szCs w:val="20"/>
              </w:rPr>
              <w:t>а также проведения государствен</w:t>
            </w:r>
            <w:r w:rsidRPr="00AB5DC9">
              <w:rPr>
                <w:rFonts w:ascii="Times New Roman" w:hAnsi="Times New Roman" w:cs="Times New Roman"/>
                <w:sz w:val="20"/>
                <w:szCs w:val="20"/>
              </w:rPr>
              <w:t>ной экологической экспертизы осущес</w:t>
            </w:r>
            <w:r>
              <w:rPr>
                <w:rFonts w:ascii="Times New Roman" w:hAnsi="Times New Roman" w:cs="Times New Roman"/>
                <w:sz w:val="20"/>
                <w:szCs w:val="20"/>
              </w:rPr>
              <w:t>твлялась в соответствии с норма</w:t>
            </w:r>
            <w:r w:rsidRPr="00AB5DC9">
              <w:rPr>
                <w:rFonts w:ascii="Times New Roman" w:hAnsi="Times New Roman" w:cs="Times New Roman"/>
                <w:sz w:val="20"/>
                <w:szCs w:val="20"/>
              </w:rPr>
              <w:t>тивными правовыми актами Российской Федерации.</w:t>
            </w:r>
          </w:p>
        </w:tc>
      </w:tr>
      <w:tr w:rsidR="007F51B8" w:rsidTr="0031014C">
        <w:trPr>
          <w:cantSplit/>
          <w:trHeight w:val="463"/>
        </w:trPr>
        <w:tc>
          <w:tcPr>
            <w:tcW w:w="1485" w:type="dxa"/>
          </w:tcPr>
          <w:p w:rsidR="007F51B8" w:rsidRPr="001D0F88" w:rsidRDefault="00873C48" w:rsidP="007F51B8">
            <w:pPr>
              <w:jc w:val="center"/>
              <w:rPr>
                <w:rFonts w:ascii="Times New Roman" w:hAnsi="Times New Roman" w:cs="Times New Roman"/>
                <w:sz w:val="20"/>
                <w:szCs w:val="20"/>
              </w:rPr>
            </w:pPr>
            <w:r>
              <w:rPr>
                <w:rFonts w:ascii="Times New Roman" w:hAnsi="Times New Roman" w:cs="Times New Roman"/>
                <w:sz w:val="20"/>
                <w:szCs w:val="20"/>
              </w:rPr>
              <w:t>7</w:t>
            </w:r>
            <w:r w:rsidR="007F51B8">
              <w:rPr>
                <w:rFonts w:ascii="Times New Roman" w:hAnsi="Times New Roman" w:cs="Times New Roman"/>
                <w:sz w:val="20"/>
                <w:szCs w:val="20"/>
              </w:rPr>
              <w:t>.</w:t>
            </w:r>
          </w:p>
        </w:tc>
        <w:tc>
          <w:tcPr>
            <w:tcW w:w="7128" w:type="dxa"/>
          </w:tcPr>
          <w:p w:rsidR="007F51B8" w:rsidRPr="006F2CC8" w:rsidRDefault="00873C48" w:rsidP="007F51B8">
            <w:pPr>
              <w:autoSpaceDE w:val="0"/>
              <w:autoSpaceDN w:val="0"/>
              <w:adjustRightInd w:val="0"/>
              <w:jc w:val="both"/>
              <w:rPr>
                <w:rFonts w:ascii="Times New Roman" w:hAnsi="Times New Roman" w:cs="Times New Roman"/>
                <w:sz w:val="20"/>
                <w:szCs w:val="20"/>
              </w:rPr>
            </w:pPr>
            <w:r w:rsidRPr="00873C48">
              <w:rPr>
                <w:rFonts w:ascii="Times New Roman" w:hAnsi="Times New Roman" w:cs="Times New Roman"/>
                <w:sz w:val="20"/>
                <w:szCs w:val="20"/>
              </w:rPr>
              <w:t>Установить, что бюджетные и автономные учреждения автономного округа при заключении контрактов (договоров) о поставке товаров, выполнении работ, оказании услуг, предусматривающих авансовые платежи, соблюдают требования, установленные пунктом 6 настоящего постановления.</w:t>
            </w:r>
          </w:p>
        </w:tc>
        <w:tc>
          <w:tcPr>
            <w:tcW w:w="6663" w:type="dxa"/>
          </w:tcPr>
          <w:p w:rsidR="007F51B8" w:rsidRPr="00C20A72" w:rsidRDefault="001779BA" w:rsidP="001779BA">
            <w:pPr>
              <w:ind w:firstLine="459"/>
              <w:jc w:val="both"/>
              <w:rPr>
                <w:rFonts w:ascii="Times New Roman" w:hAnsi="Times New Roman" w:cs="Times New Roman"/>
                <w:sz w:val="20"/>
                <w:szCs w:val="20"/>
              </w:rPr>
            </w:pPr>
            <w:r w:rsidRPr="001779BA">
              <w:rPr>
                <w:rFonts w:ascii="Times New Roman" w:hAnsi="Times New Roman" w:cs="Times New Roman"/>
                <w:sz w:val="20"/>
                <w:szCs w:val="20"/>
              </w:rPr>
              <w:t>государственные бюджетные и автономные учреждения при заключении контрактов (договоров) о поставке товаров, выполнении работ, оказании услуг, предусматривающих авансовые платежи, соблюдали требования, установленные пунктом 6 настоящего постановления.</w:t>
            </w:r>
          </w:p>
        </w:tc>
      </w:tr>
      <w:tr w:rsidR="00406E3A" w:rsidTr="0031014C">
        <w:trPr>
          <w:cantSplit/>
        </w:trPr>
        <w:tc>
          <w:tcPr>
            <w:tcW w:w="1485" w:type="dxa"/>
            <w:vMerge w:val="restart"/>
          </w:tcPr>
          <w:p w:rsidR="00406E3A" w:rsidRPr="001D0F88" w:rsidRDefault="00873C48" w:rsidP="007F51B8">
            <w:pPr>
              <w:jc w:val="center"/>
              <w:rPr>
                <w:rFonts w:ascii="Times New Roman" w:hAnsi="Times New Roman" w:cs="Times New Roman"/>
                <w:sz w:val="20"/>
                <w:szCs w:val="20"/>
              </w:rPr>
            </w:pPr>
            <w:r>
              <w:rPr>
                <w:rFonts w:ascii="Times New Roman" w:hAnsi="Times New Roman" w:cs="Times New Roman"/>
                <w:sz w:val="20"/>
                <w:szCs w:val="20"/>
              </w:rPr>
              <w:t>8.</w:t>
            </w:r>
          </w:p>
        </w:tc>
        <w:tc>
          <w:tcPr>
            <w:tcW w:w="7128" w:type="dxa"/>
          </w:tcPr>
          <w:p w:rsidR="00406E3A" w:rsidRPr="00D37279" w:rsidRDefault="00873C48" w:rsidP="00873C48">
            <w:pPr>
              <w:pStyle w:val="ConsPlusNormal"/>
              <w:jc w:val="both"/>
            </w:pPr>
            <w:r>
              <w:t>Установить, что полномочия получателя средств бюджета автономного округа по перечислению межбюджетных трансфертов, предоставляемых из бюджета автономного округа в бюджеты муниципальных районов и городских округов автономного округа (далее - муниципальные образования автономного округа) в форме субсидий, субвенций и иных межбюджетных трансфертов, имеющих целевое назначение, осуществляет Департамент финансов автономного округа в следующем порядке:</w:t>
            </w:r>
          </w:p>
        </w:tc>
        <w:tc>
          <w:tcPr>
            <w:tcW w:w="6663" w:type="dxa"/>
            <w:vMerge w:val="restart"/>
          </w:tcPr>
          <w:p w:rsidR="001779BA" w:rsidRPr="001779BA" w:rsidRDefault="001779BA" w:rsidP="001779BA">
            <w:pPr>
              <w:ind w:firstLine="459"/>
              <w:jc w:val="both"/>
              <w:rPr>
                <w:rFonts w:ascii="Times New Roman" w:hAnsi="Times New Roman" w:cs="Times New Roman"/>
                <w:sz w:val="20"/>
                <w:szCs w:val="20"/>
              </w:rPr>
            </w:pPr>
            <w:r w:rsidRPr="001779BA">
              <w:rPr>
                <w:rFonts w:ascii="Times New Roman" w:hAnsi="Times New Roman" w:cs="Times New Roman"/>
                <w:sz w:val="20"/>
                <w:szCs w:val="20"/>
              </w:rPr>
              <w:t>Департамент финансов автономного округа в отчетном году осуществлял полномочия получателя средств бюджета автономного округа по перечислению межбюджетных трансфертов, предоставляемых из бюджета автономного округа в бюджеты муниципальных районов и городских округов автономного округа в форме субсидий, субвенций и иных межбюджетных трансфертов, имеющих целевое назначение, на основании правовых актов главных распорядителей средств бюджета автономного округа, передавших полномочия по перечислению межбюджетных трансфертов.</w:t>
            </w:r>
          </w:p>
          <w:p w:rsidR="001779BA" w:rsidRPr="001779BA" w:rsidRDefault="001779BA" w:rsidP="001779BA">
            <w:pPr>
              <w:ind w:firstLine="459"/>
              <w:jc w:val="both"/>
              <w:rPr>
                <w:rFonts w:ascii="Times New Roman" w:hAnsi="Times New Roman" w:cs="Times New Roman"/>
                <w:sz w:val="20"/>
                <w:szCs w:val="20"/>
              </w:rPr>
            </w:pPr>
            <w:r w:rsidRPr="001779BA">
              <w:rPr>
                <w:rFonts w:ascii="Times New Roman" w:hAnsi="Times New Roman" w:cs="Times New Roman"/>
                <w:sz w:val="20"/>
                <w:szCs w:val="20"/>
              </w:rPr>
              <w:t>Перечисление межбюджетных трансфертов, предоставляемых из бюджета автономного округа в бюджеты муниципальных районов и городских округов автономного округа осуществлялось в пределах лимитов бюджетных обязательств, доведенных в установленном порядке главному распорядителю средств бюджета автономного округа как получателю средств бюджета автономного округа.</w:t>
            </w:r>
          </w:p>
          <w:p w:rsidR="001779BA" w:rsidRPr="001779BA" w:rsidRDefault="001779BA" w:rsidP="001779BA">
            <w:pPr>
              <w:autoSpaceDE w:val="0"/>
              <w:autoSpaceDN w:val="0"/>
              <w:adjustRightInd w:val="0"/>
              <w:ind w:firstLine="459"/>
              <w:jc w:val="both"/>
              <w:rPr>
                <w:rFonts w:ascii="Times New Roman" w:hAnsi="Times New Roman" w:cs="Times New Roman"/>
                <w:sz w:val="20"/>
                <w:szCs w:val="20"/>
              </w:rPr>
            </w:pPr>
            <w:r w:rsidRPr="001779BA">
              <w:rPr>
                <w:rFonts w:ascii="Times New Roman" w:hAnsi="Times New Roman" w:cs="Times New Roman"/>
                <w:sz w:val="20"/>
                <w:szCs w:val="20"/>
              </w:rPr>
              <w:t xml:space="preserve">Организация работы Департамента финансов автономного округа по осуществлению полномочий получателя средств бюджета автономного </w:t>
            </w:r>
            <w:r w:rsidRPr="001779BA">
              <w:rPr>
                <w:rFonts w:ascii="Times New Roman" w:hAnsi="Times New Roman" w:cs="Times New Roman"/>
                <w:sz w:val="20"/>
                <w:szCs w:val="20"/>
              </w:rPr>
              <w:lastRenderedPageBreak/>
              <w:t>округа по перечислению в бюджеты муниципальных районов и городских округов автономного округа субсидий, субвенций и иных межбюджетных трансфертов, имеющих целевое назначение, осуществляется в соответствии с порядком, утвержденным приказом Департамента финансов автономного округа от 10 января 2018 года № 1-нп.</w:t>
            </w:r>
          </w:p>
          <w:p w:rsidR="00406E3A" w:rsidRPr="001779BA" w:rsidRDefault="00406E3A" w:rsidP="001779BA">
            <w:pPr>
              <w:ind w:firstLine="459"/>
              <w:jc w:val="both"/>
              <w:rPr>
                <w:rFonts w:ascii="Times New Roman" w:hAnsi="Times New Roman" w:cs="Times New Roman"/>
                <w:sz w:val="20"/>
                <w:szCs w:val="20"/>
              </w:rPr>
            </w:pPr>
          </w:p>
        </w:tc>
      </w:tr>
      <w:tr w:rsidR="00406E3A" w:rsidTr="00D37279">
        <w:trPr>
          <w:cantSplit/>
          <w:trHeight w:val="77"/>
        </w:trPr>
        <w:tc>
          <w:tcPr>
            <w:tcW w:w="1485" w:type="dxa"/>
            <w:vMerge/>
          </w:tcPr>
          <w:p w:rsidR="00406E3A" w:rsidRPr="001D0F88" w:rsidRDefault="00406E3A" w:rsidP="007F51B8">
            <w:pPr>
              <w:jc w:val="center"/>
              <w:rPr>
                <w:rFonts w:ascii="Times New Roman" w:hAnsi="Times New Roman" w:cs="Times New Roman"/>
                <w:sz w:val="20"/>
                <w:szCs w:val="20"/>
              </w:rPr>
            </w:pPr>
          </w:p>
        </w:tc>
        <w:tc>
          <w:tcPr>
            <w:tcW w:w="7128" w:type="dxa"/>
          </w:tcPr>
          <w:p w:rsidR="00406E3A" w:rsidRPr="00D37279" w:rsidRDefault="00406E3A" w:rsidP="00E82A5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 xml:space="preserve">а) </w:t>
            </w:r>
            <w:r w:rsidR="00873C48" w:rsidRPr="00873C48">
              <w:rPr>
                <w:rFonts w:ascii="Times New Roman" w:hAnsi="Times New Roman" w:cs="Times New Roman"/>
                <w:sz w:val="20"/>
                <w:szCs w:val="20"/>
              </w:rPr>
              <w:t>в случае принятия решения о передаче полномочий по перечислению межбюджетных трансфертов главные распорядители средств бюджета автономного округа, которым как получателям средств бюджета автономного округа доведены в установленном порядке лимиты бюджетных обязательств на предоставление межбюджетных трансфертов, принимают правовые акты, содержащие в том числе следующие положения:</w:t>
            </w:r>
          </w:p>
        </w:tc>
        <w:tc>
          <w:tcPr>
            <w:tcW w:w="6663" w:type="dxa"/>
            <w:vMerge/>
          </w:tcPr>
          <w:p w:rsidR="00406E3A" w:rsidRPr="001D0F88" w:rsidRDefault="00406E3A" w:rsidP="007F51B8">
            <w:pPr>
              <w:rPr>
                <w:rFonts w:ascii="Times New Roman" w:hAnsi="Times New Roman" w:cs="Times New Roman"/>
                <w:sz w:val="20"/>
                <w:szCs w:val="20"/>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873C48" w:rsidRDefault="00873C48" w:rsidP="00873C48">
            <w:pPr>
              <w:pStyle w:val="ConsPlusNormal"/>
              <w:jc w:val="both"/>
            </w:pPr>
            <w:r>
              <w:t>наименование межбюджетных трансфертов, полномочия по перечислению которых передаются Департаменту финансов автономного округа;</w:t>
            </w:r>
          </w:p>
        </w:tc>
        <w:tc>
          <w:tcPr>
            <w:tcW w:w="6663" w:type="dxa"/>
            <w:vMerge/>
          </w:tcPr>
          <w:p w:rsidR="00406E3A" w:rsidRPr="007D3D2A" w:rsidRDefault="00406E3A" w:rsidP="00D027A8">
            <w:pPr>
              <w:pStyle w:val="ac"/>
              <w:tabs>
                <w:tab w:val="center" w:pos="4677"/>
                <w:tab w:val="right" w:pos="9355"/>
              </w:tabs>
              <w:rPr>
                <w:sz w:val="22"/>
                <w:szCs w:val="22"/>
                <w:lang w:val="ru-RU"/>
              </w:rPr>
            </w:pPr>
          </w:p>
        </w:tc>
      </w:tr>
      <w:tr w:rsidR="00873C48" w:rsidTr="0031014C">
        <w:trPr>
          <w:cantSplit/>
        </w:trPr>
        <w:tc>
          <w:tcPr>
            <w:tcW w:w="1485" w:type="dxa"/>
            <w:vMerge/>
          </w:tcPr>
          <w:p w:rsidR="00873C48" w:rsidRDefault="00873C48" w:rsidP="007F51B8">
            <w:pPr>
              <w:jc w:val="center"/>
              <w:rPr>
                <w:rFonts w:ascii="Times New Roman" w:hAnsi="Times New Roman" w:cs="Times New Roman"/>
                <w:sz w:val="20"/>
                <w:szCs w:val="20"/>
              </w:rPr>
            </w:pPr>
          </w:p>
        </w:tc>
        <w:tc>
          <w:tcPr>
            <w:tcW w:w="7128" w:type="dxa"/>
          </w:tcPr>
          <w:p w:rsidR="00873C48" w:rsidRPr="00873C48" w:rsidRDefault="00873C48" w:rsidP="00873C48">
            <w:pPr>
              <w:pStyle w:val="ConsPlusNormal"/>
              <w:jc w:val="both"/>
            </w:pPr>
            <w:r>
              <w:t>перечень муниципальных образований автономного округа, которым предоставляются межбюджетные трансферты;</w:t>
            </w:r>
          </w:p>
        </w:tc>
        <w:tc>
          <w:tcPr>
            <w:tcW w:w="6663" w:type="dxa"/>
            <w:vMerge/>
          </w:tcPr>
          <w:p w:rsidR="00873C48" w:rsidRPr="00207009" w:rsidRDefault="00873C48" w:rsidP="007F51B8">
            <w:pPr>
              <w:rPr>
                <w:rFonts w:ascii="Times New Roman" w:hAnsi="Times New Roman" w:cs="Times New Roman"/>
                <w:sz w:val="20"/>
                <w:szCs w:val="20"/>
                <w:highlight w:val="yellow"/>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D37279" w:rsidRDefault="00A26B2C" w:rsidP="007F51B8">
            <w:pPr>
              <w:autoSpaceDE w:val="0"/>
              <w:autoSpaceDN w:val="0"/>
              <w:adjustRightInd w:val="0"/>
              <w:jc w:val="both"/>
              <w:rPr>
                <w:rFonts w:ascii="Times New Roman" w:hAnsi="Times New Roman" w:cs="Times New Roman"/>
                <w:iCs/>
                <w:sz w:val="20"/>
                <w:szCs w:val="20"/>
              </w:rPr>
            </w:pPr>
            <w:r w:rsidRPr="00A26B2C">
              <w:rPr>
                <w:rFonts w:ascii="Times New Roman" w:hAnsi="Times New Roman" w:cs="Times New Roman"/>
                <w:iCs/>
                <w:sz w:val="20"/>
                <w:szCs w:val="20"/>
              </w:rPr>
              <w:t>коды классификации расходов бюджета автономного округа, по которым подлежат учету операции по перечислению межбюджетных трансфертов из бюджета автономного округа, и коды классификации доходов бюджетов муниципальных образований автономного округа, по которым подлежат учету операции по поступлению межбюджетных трансфертов в бюджет муниципального образования автономного округа;</w:t>
            </w:r>
          </w:p>
        </w:tc>
        <w:tc>
          <w:tcPr>
            <w:tcW w:w="6663" w:type="dxa"/>
            <w:vMerge/>
          </w:tcPr>
          <w:p w:rsidR="00406E3A" w:rsidRPr="00207009" w:rsidRDefault="00406E3A" w:rsidP="007F51B8">
            <w:pPr>
              <w:rPr>
                <w:rFonts w:ascii="Times New Roman" w:hAnsi="Times New Roman" w:cs="Times New Roman"/>
                <w:sz w:val="20"/>
                <w:szCs w:val="20"/>
                <w:highlight w:val="yellow"/>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D37279" w:rsidRDefault="00A26B2C" w:rsidP="007F51B8">
            <w:pPr>
              <w:autoSpaceDE w:val="0"/>
              <w:autoSpaceDN w:val="0"/>
              <w:adjustRightInd w:val="0"/>
              <w:jc w:val="both"/>
              <w:rPr>
                <w:rFonts w:ascii="Times New Roman" w:hAnsi="Times New Roman" w:cs="Times New Roman"/>
                <w:sz w:val="20"/>
                <w:szCs w:val="20"/>
              </w:rPr>
            </w:pPr>
            <w:r w:rsidRPr="00A26B2C">
              <w:rPr>
                <w:rFonts w:ascii="Times New Roman" w:hAnsi="Times New Roman" w:cs="Times New Roman"/>
                <w:sz w:val="20"/>
                <w:szCs w:val="20"/>
              </w:rPr>
              <w:t>наименование нормативного правового акта автономного округа, регулирующего порядок (правила) предоставления межбюджетного трансферта;</w:t>
            </w:r>
          </w:p>
        </w:tc>
        <w:tc>
          <w:tcPr>
            <w:tcW w:w="6663" w:type="dxa"/>
            <w:vMerge/>
          </w:tcPr>
          <w:p w:rsidR="00406E3A" w:rsidRPr="00207009" w:rsidRDefault="00406E3A" w:rsidP="007F51B8">
            <w:pPr>
              <w:rPr>
                <w:rFonts w:ascii="Times New Roman" w:hAnsi="Times New Roman" w:cs="Times New Roman"/>
                <w:sz w:val="20"/>
                <w:szCs w:val="20"/>
                <w:highlight w:val="yellow"/>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D37279" w:rsidRDefault="00406E3A" w:rsidP="00E82A5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 xml:space="preserve">б) </w:t>
            </w:r>
            <w:r w:rsidR="00A26B2C" w:rsidRPr="00A26B2C">
              <w:rPr>
                <w:rFonts w:ascii="Times New Roman" w:hAnsi="Times New Roman" w:cs="Times New Roman"/>
                <w:sz w:val="20"/>
                <w:szCs w:val="20"/>
              </w:rPr>
              <w:t>предоставление межбюджетных трансфертов осуществляется в пределах лимитов бюджетных обязательств, доведенных в установленном порядке главному распорядителю средств бюджета автономного округа как получателю средств бюджета автономного округа на указанные цели, учтенных на лицевом счете, предназначенном для отражения операций по переданным полномочиям, открытом в Департаменте финансов автономного округа в установленном им порядке;</w:t>
            </w:r>
          </w:p>
        </w:tc>
        <w:tc>
          <w:tcPr>
            <w:tcW w:w="6663" w:type="dxa"/>
            <w:vMerge/>
          </w:tcPr>
          <w:p w:rsidR="00406E3A" w:rsidRPr="00207009" w:rsidRDefault="00406E3A" w:rsidP="007F51B8">
            <w:pPr>
              <w:rPr>
                <w:rFonts w:ascii="Times New Roman" w:hAnsi="Times New Roman" w:cs="Times New Roman"/>
                <w:sz w:val="20"/>
                <w:szCs w:val="20"/>
                <w:highlight w:val="yellow"/>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D37279" w:rsidRDefault="00406E3A" w:rsidP="00E82A5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 xml:space="preserve">в) </w:t>
            </w:r>
            <w:r w:rsidR="00A26B2C" w:rsidRPr="00A26B2C">
              <w:rPr>
                <w:rFonts w:ascii="Times New Roman" w:hAnsi="Times New Roman" w:cs="Times New Roman"/>
                <w:sz w:val="20"/>
                <w:szCs w:val="20"/>
              </w:rPr>
              <w:t>организация работы Департамента финансов автономного округа по осуществлению им полномочий получателя средств бюджета автономного округа по перечислению межбюджетных трансфертов осуществляется в установленном им порядке.</w:t>
            </w:r>
          </w:p>
        </w:tc>
        <w:tc>
          <w:tcPr>
            <w:tcW w:w="6663" w:type="dxa"/>
            <w:vMerge/>
          </w:tcPr>
          <w:p w:rsidR="00406E3A" w:rsidRPr="00207009" w:rsidRDefault="00406E3A" w:rsidP="007F51B8">
            <w:pPr>
              <w:rPr>
                <w:rFonts w:ascii="Times New Roman" w:hAnsi="Times New Roman" w:cs="Times New Roman"/>
                <w:sz w:val="20"/>
                <w:szCs w:val="20"/>
                <w:highlight w:val="yellow"/>
              </w:rPr>
            </w:pPr>
          </w:p>
        </w:tc>
      </w:tr>
      <w:tr w:rsidR="00892C3C" w:rsidTr="00A63E32">
        <w:trPr>
          <w:cantSplit/>
          <w:trHeight w:val="3220"/>
        </w:trPr>
        <w:tc>
          <w:tcPr>
            <w:tcW w:w="1485" w:type="dxa"/>
          </w:tcPr>
          <w:p w:rsidR="00892C3C" w:rsidRDefault="00A26B2C" w:rsidP="007F51B8">
            <w:pPr>
              <w:jc w:val="center"/>
              <w:rPr>
                <w:rFonts w:ascii="Times New Roman" w:hAnsi="Times New Roman" w:cs="Times New Roman"/>
                <w:sz w:val="20"/>
                <w:szCs w:val="20"/>
              </w:rPr>
            </w:pPr>
            <w:r>
              <w:rPr>
                <w:rFonts w:ascii="Times New Roman" w:hAnsi="Times New Roman" w:cs="Times New Roman"/>
                <w:sz w:val="20"/>
                <w:szCs w:val="20"/>
              </w:rPr>
              <w:t>9.</w:t>
            </w:r>
          </w:p>
        </w:tc>
        <w:tc>
          <w:tcPr>
            <w:tcW w:w="7128" w:type="dxa"/>
          </w:tcPr>
          <w:p w:rsidR="00892C3C" w:rsidRDefault="00A26B2C" w:rsidP="00A26B2C">
            <w:pPr>
              <w:autoSpaceDE w:val="0"/>
              <w:autoSpaceDN w:val="0"/>
              <w:adjustRightInd w:val="0"/>
              <w:jc w:val="both"/>
              <w:rPr>
                <w:rFonts w:ascii="Times New Roman" w:hAnsi="Times New Roman" w:cs="Times New Roman"/>
                <w:iCs/>
                <w:sz w:val="20"/>
                <w:szCs w:val="20"/>
              </w:rPr>
            </w:pPr>
            <w:r w:rsidRPr="00A26B2C">
              <w:rPr>
                <w:rFonts w:ascii="Times New Roman" w:hAnsi="Times New Roman" w:cs="Times New Roman"/>
                <w:iCs/>
                <w:sz w:val="20"/>
                <w:szCs w:val="20"/>
              </w:rPr>
              <w:t>Установить, что в 2020 году при представлении главными распорядителями средств бюджета автономного округа предложений по внесению изменений в сводную бюджетную роспись бюджета автономного округа не допускается перераспределение на иные цели бюджетных ассигнований, предусмотренных на:</w:t>
            </w:r>
          </w:p>
          <w:p w:rsidR="00A26B2C" w:rsidRDefault="00A26B2C" w:rsidP="00A26B2C">
            <w:pPr>
              <w:pStyle w:val="ConsPlusNormal"/>
              <w:jc w:val="both"/>
            </w:pPr>
            <w:r>
              <w:t xml:space="preserve">а) оплату труда и начисления на выплаты по оплате труда, за исключением исполнения требований по исполнительным документам, выплат выходных пособий, выплат в связи с назначением пенсии за выслугу лет, выплат работникам, гражданским служащим среднемесячного заработка на период трудоустройства при их увольнении в связи с ликвидацией либо реорганизацией учреждения, иными организационно-штатными мероприятиями, приводящими к сокращению численности работников учреждения, выплат пособий за первые 3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w:t>
            </w:r>
            <w:r w:rsidR="00F74B64">
              <w:t>и профессиональных заболеваний);</w:t>
            </w:r>
          </w:p>
          <w:p w:rsidR="00F74B64" w:rsidRPr="00A26B2C" w:rsidRDefault="00F74B64" w:rsidP="00A26B2C">
            <w:pPr>
              <w:pStyle w:val="ConsPlusNormal"/>
              <w:jc w:val="both"/>
            </w:pPr>
            <w:r>
              <w:t xml:space="preserve">б) предоставление межбюджетных трансфертов бюджетам муниципальных образований автономного округа, за исключением случаев, когда иные цели связаны с реализацией региональных проектов, направленных на достижение целей, показателей и результатов федеральных проектов </w:t>
            </w:r>
            <w:r w:rsidRPr="00F74B64">
              <w:rPr>
                <w:b/>
                <w:u w:val="single"/>
              </w:rPr>
              <w:t>(приостановлен до 1 января 2021 года)</w:t>
            </w:r>
          </w:p>
        </w:tc>
        <w:tc>
          <w:tcPr>
            <w:tcW w:w="6663" w:type="dxa"/>
          </w:tcPr>
          <w:p w:rsidR="00892C3C" w:rsidRPr="009C203F" w:rsidRDefault="00812902" w:rsidP="00812902">
            <w:pPr>
              <w:ind w:firstLine="459"/>
              <w:jc w:val="both"/>
              <w:rPr>
                <w:rFonts w:ascii="Times New Roman" w:hAnsi="Times New Roman" w:cs="Times New Roman"/>
                <w:sz w:val="20"/>
                <w:szCs w:val="20"/>
                <w:highlight w:val="yellow"/>
              </w:rPr>
            </w:pPr>
            <w:r w:rsidRPr="00773008">
              <w:rPr>
                <w:rFonts w:ascii="Times New Roman" w:hAnsi="Times New Roman" w:cs="Times New Roman"/>
                <w:color w:val="000000" w:themeColor="text1"/>
                <w:sz w:val="20"/>
                <w:szCs w:val="20"/>
              </w:rPr>
              <w:t>главными распорядителями средств бюджета автономного округа положения данного пункта соблюдены</w:t>
            </w:r>
          </w:p>
        </w:tc>
      </w:tr>
      <w:tr w:rsidR="00892C3C" w:rsidTr="00A26B2C">
        <w:trPr>
          <w:cantSplit/>
          <w:trHeight w:val="2352"/>
        </w:trPr>
        <w:tc>
          <w:tcPr>
            <w:tcW w:w="1485" w:type="dxa"/>
          </w:tcPr>
          <w:p w:rsidR="00892C3C" w:rsidRDefault="00892C3C" w:rsidP="00A26B2C">
            <w:pPr>
              <w:jc w:val="center"/>
              <w:rPr>
                <w:rFonts w:ascii="Times New Roman" w:hAnsi="Times New Roman" w:cs="Times New Roman"/>
                <w:sz w:val="20"/>
                <w:szCs w:val="20"/>
              </w:rPr>
            </w:pPr>
            <w:r>
              <w:rPr>
                <w:rFonts w:ascii="Times New Roman" w:hAnsi="Times New Roman" w:cs="Times New Roman"/>
                <w:sz w:val="20"/>
                <w:szCs w:val="20"/>
              </w:rPr>
              <w:lastRenderedPageBreak/>
              <w:t>1</w:t>
            </w:r>
            <w:r w:rsidR="00A26B2C">
              <w:rPr>
                <w:rFonts w:ascii="Times New Roman" w:hAnsi="Times New Roman" w:cs="Times New Roman"/>
                <w:sz w:val="20"/>
                <w:szCs w:val="20"/>
              </w:rPr>
              <w:t>0</w:t>
            </w:r>
            <w:r>
              <w:rPr>
                <w:rFonts w:ascii="Times New Roman" w:hAnsi="Times New Roman" w:cs="Times New Roman"/>
                <w:sz w:val="20"/>
                <w:szCs w:val="20"/>
              </w:rPr>
              <w:t>.</w:t>
            </w:r>
          </w:p>
        </w:tc>
        <w:tc>
          <w:tcPr>
            <w:tcW w:w="7128" w:type="dxa"/>
          </w:tcPr>
          <w:p w:rsidR="00892C3C" w:rsidRPr="006F2CC8" w:rsidRDefault="00A26B2C" w:rsidP="00E82A58">
            <w:pPr>
              <w:autoSpaceDE w:val="0"/>
              <w:autoSpaceDN w:val="0"/>
              <w:adjustRightInd w:val="0"/>
              <w:jc w:val="both"/>
              <w:rPr>
                <w:rFonts w:ascii="Times New Roman" w:hAnsi="Times New Roman" w:cs="Times New Roman"/>
                <w:sz w:val="20"/>
                <w:szCs w:val="20"/>
              </w:rPr>
            </w:pPr>
            <w:r w:rsidRPr="00A26B2C">
              <w:rPr>
                <w:rFonts w:ascii="Times New Roman" w:hAnsi="Times New Roman" w:cs="Times New Roman"/>
                <w:sz w:val="20"/>
                <w:szCs w:val="20"/>
              </w:rPr>
              <w:t>Главные распорядители средств бюджета автономного округа после заключения соглашений (договоров) о предоставлении из бюджета автономного округа субсидий включают информацию по каждому соглашению (договору) в реестр соглашений (договоров) о предоставлении из бюджета автономного округа субсидий юридическим лицам (за исключением государственных учреждений), индивидуальным предпринимателям, физическим лицам - производителям товаров (работ, услуг), некоммерческим организациям, не являющимся государственными учреждениями автономного округа, бюджетам муниципальных образований автономного округа в порядке, установленном Департаментом финансов автономного округа.</w:t>
            </w:r>
          </w:p>
        </w:tc>
        <w:tc>
          <w:tcPr>
            <w:tcW w:w="6663" w:type="dxa"/>
          </w:tcPr>
          <w:p w:rsidR="00EF3C7F" w:rsidRPr="001D0F88" w:rsidRDefault="00812902" w:rsidP="00812902">
            <w:pPr>
              <w:ind w:firstLine="459"/>
              <w:jc w:val="both"/>
              <w:rPr>
                <w:rFonts w:ascii="Times New Roman" w:hAnsi="Times New Roman" w:cs="Times New Roman"/>
                <w:sz w:val="20"/>
                <w:szCs w:val="20"/>
              </w:rPr>
            </w:pPr>
            <w:r w:rsidRPr="00C469E7">
              <w:rPr>
                <w:rFonts w:ascii="Times New Roman" w:hAnsi="Times New Roman" w:cs="Times New Roman"/>
                <w:color w:val="000000" w:themeColor="text1"/>
                <w:sz w:val="20"/>
                <w:szCs w:val="20"/>
              </w:rPr>
              <w:t>информация по соглашениям (договорам) о предоставлении из бюджета автономного округа субсидий включена в реестр соглашений (договоров) о предоставлении из бюджета автономного округа субсидий юридическим лицам (за исключением государственных учреждений), индивидуальным предпринимателям, физическим лицам - производителям товаров (работ, услуг), некоммерческим организациям, не являющимся государственными учреждениями автономного округа, бюджетам муниципальных образований автономного округа в порядке, установленном приказом Департаментом финансов автономного округа от 16 января 2018 года № 2-нп.</w:t>
            </w:r>
          </w:p>
        </w:tc>
      </w:tr>
      <w:tr w:rsidR="007F51B8" w:rsidTr="00D60F48">
        <w:trPr>
          <w:cantSplit/>
          <w:trHeight w:val="1178"/>
        </w:trPr>
        <w:tc>
          <w:tcPr>
            <w:tcW w:w="1485" w:type="dxa"/>
          </w:tcPr>
          <w:p w:rsidR="007F51B8" w:rsidRDefault="007F51B8" w:rsidP="00A26B2C">
            <w:pPr>
              <w:jc w:val="center"/>
              <w:rPr>
                <w:rFonts w:ascii="Times New Roman" w:hAnsi="Times New Roman" w:cs="Times New Roman"/>
                <w:sz w:val="20"/>
                <w:szCs w:val="20"/>
              </w:rPr>
            </w:pPr>
            <w:r>
              <w:rPr>
                <w:rFonts w:ascii="Times New Roman" w:hAnsi="Times New Roman" w:cs="Times New Roman"/>
                <w:sz w:val="20"/>
                <w:szCs w:val="20"/>
              </w:rPr>
              <w:t>1</w:t>
            </w:r>
            <w:r w:rsidR="00A26B2C">
              <w:rPr>
                <w:rFonts w:ascii="Times New Roman" w:hAnsi="Times New Roman" w:cs="Times New Roman"/>
                <w:sz w:val="20"/>
                <w:szCs w:val="20"/>
              </w:rPr>
              <w:t>1</w:t>
            </w:r>
            <w:r>
              <w:rPr>
                <w:rFonts w:ascii="Times New Roman" w:hAnsi="Times New Roman" w:cs="Times New Roman"/>
                <w:sz w:val="20"/>
                <w:szCs w:val="20"/>
              </w:rPr>
              <w:t>.</w:t>
            </w:r>
          </w:p>
        </w:tc>
        <w:tc>
          <w:tcPr>
            <w:tcW w:w="7128" w:type="dxa"/>
            <w:tcBorders>
              <w:bottom w:val="single" w:sz="4" w:space="0" w:color="auto"/>
            </w:tcBorders>
          </w:tcPr>
          <w:p w:rsidR="007F51B8" w:rsidRPr="00DC3284" w:rsidRDefault="00A26B2C" w:rsidP="007F51B8">
            <w:pPr>
              <w:autoSpaceDE w:val="0"/>
              <w:autoSpaceDN w:val="0"/>
              <w:adjustRightInd w:val="0"/>
              <w:jc w:val="both"/>
              <w:rPr>
                <w:rFonts w:ascii="Times New Roman" w:hAnsi="Times New Roman" w:cs="Times New Roman"/>
                <w:sz w:val="20"/>
                <w:szCs w:val="20"/>
              </w:rPr>
            </w:pPr>
            <w:r w:rsidRPr="00A26B2C">
              <w:rPr>
                <w:rFonts w:ascii="Times New Roman" w:hAnsi="Times New Roman" w:cs="Times New Roman"/>
                <w:sz w:val="20"/>
                <w:szCs w:val="20"/>
              </w:rPr>
              <w:t>Операции по перечислению средств, отраженных на лицевых счетах, открытых юридическим лицам, в том числе некоммерческим организациям, крестьянским (фермерским) хозяйствам, индивидуальным предпринимателям, осуществляются в пределах суммы, необходимой для оплаты обязательств по расходам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указанные средства, при соблюдении условий и порядка их предоставления.</w:t>
            </w:r>
          </w:p>
        </w:tc>
        <w:tc>
          <w:tcPr>
            <w:tcW w:w="6663" w:type="dxa"/>
            <w:tcBorders>
              <w:bottom w:val="single" w:sz="4" w:space="0" w:color="auto"/>
            </w:tcBorders>
          </w:tcPr>
          <w:p w:rsidR="007F51B8" w:rsidRPr="001D0F88" w:rsidRDefault="001779BA" w:rsidP="001779BA">
            <w:pPr>
              <w:autoSpaceDE w:val="0"/>
              <w:autoSpaceDN w:val="0"/>
              <w:adjustRightInd w:val="0"/>
              <w:ind w:firstLine="459"/>
              <w:jc w:val="both"/>
              <w:rPr>
                <w:rFonts w:ascii="Times New Roman" w:hAnsi="Times New Roman" w:cs="Times New Roman"/>
                <w:sz w:val="20"/>
                <w:szCs w:val="20"/>
              </w:rPr>
            </w:pPr>
            <w:r>
              <w:rPr>
                <w:rFonts w:ascii="Times New Roman" w:hAnsi="Times New Roman" w:cs="Times New Roman"/>
                <w:sz w:val="20"/>
                <w:szCs w:val="20"/>
              </w:rPr>
              <w:t>п</w:t>
            </w:r>
            <w:r w:rsidRPr="001779BA">
              <w:rPr>
                <w:rFonts w:ascii="Times New Roman" w:hAnsi="Times New Roman" w:cs="Times New Roman"/>
                <w:sz w:val="20"/>
                <w:szCs w:val="20"/>
              </w:rPr>
              <w:t>еречисление средств, предоставленных из бюджета автономного округа юридическим лицам, в том числе некоммерческим организациям, крестьянским (фермерским) хозяйствам, индивидуальным предпринимателям, в течение года осуществлялось в пределах суммы, необходимой для оплаты обязательств по расходам юридических лиц, в том числе некоммерческих организаций, крестьянских (фермерских) хозяйств, индивидуальных предпринимателей.</w:t>
            </w:r>
          </w:p>
        </w:tc>
      </w:tr>
      <w:tr w:rsidR="00032560" w:rsidTr="002D66BA">
        <w:trPr>
          <w:cantSplit/>
          <w:trHeight w:val="1178"/>
        </w:trPr>
        <w:tc>
          <w:tcPr>
            <w:tcW w:w="1485" w:type="dxa"/>
            <w:tcBorders>
              <w:bottom w:val="nil"/>
            </w:tcBorders>
          </w:tcPr>
          <w:p w:rsidR="00032560" w:rsidRDefault="00A26B2C" w:rsidP="007F51B8">
            <w:pPr>
              <w:jc w:val="center"/>
              <w:rPr>
                <w:rFonts w:ascii="Times New Roman" w:hAnsi="Times New Roman" w:cs="Times New Roman"/>
                <w:sz w:val="20"/>
                <w:szCs w:val="20"/>
              </w:rPr>
            </w:pPr>
            <w:r>
              <w:rPr>
                <w:rFonts w:ascii="Times New Roman" w:hAnsi="Times New Roman" w:cs="Times New Roman"/>
                <w:sz w:val="20"/>
                <w:szCs w:val="20"/>
              </w:rPr>
              <w:t>12</w:t>
            </w:r>
            <w:r w:rsidR="00032560">
              <w:rPr>
                <w:rFonts w:ascii="Times New Roman" w:hAnsi="Times New Roman" w:cs="Times New Roman"/>
                <w:sz w:val="20"/>
                <w:szCs w:val="20"/>
              </w:rPr>
              <w:t>.</w:t>
            </w:r>
          </w:p>
        </w:tc>
        <w:tc>
          <w:tcPr>
            <w:tcW w:w="7128" w:type="dxa"/>
            <w:tcBorders>
              <w:bottom w:val="single" w:sz="4" w:space="0" w:color="auto"/>
            </w:tcBorders>
          </w:tcPr>
          <w:p w:rsidR="00032560" w:rsidRDefault="00A26B2C" w:rsidP="007F51B8">
            <w:pPr>
              <w:autoSpaceDE w:val="0"/>
              <w:autoSpaceDN w:val="0"/>
              <w:adjustRightInd w:val="0"/>
              <w:jc w:val="both"/>
              <w:rPr>
                <w:rFonts w:ascii="Times New Roman" w:hAnsi="Times New Roman" w:cs="Times New Roman"/>
                <w:sz w:val="20"/>
                <w:szCs w:val="20"/>
              </w:rPr>
            </w:pPr>
            <w:r w:rsidRPr="00A26B2C">
              <w:rPr>
                <w:rFonts w:ascii="Times New Roman" w:hAnsi="Times New Roman" w:cs="Times New Roman"/>
                <w:sz w:val="20"/>
                <w:szCs w:val="20"/>
              </w:rPr>
              <w:t>Установить, что остатки субсидий, предоставленных из бюджета автономного округа в целях финансового обеспечения затрат юридических лиц, в том числе некоммерческих организаций, крестьянских (фермерских) хозяйств, индивидуальных предпринимателей, находящиеся на лицевых счетах, открытых им в Департаменте финансов автономного округа, не использованные по состоянию на 1 января 2020 года, подлежат использованию с внесением соответствующих изменений в договоры (соглашения) о предоставлении субсидий указанным юридическим лицам, в том числе некоммерческим организациям, крестьянским (фермерским) хозяйствам, индивидуальным предпринимателям, в следующем порядке:</w:t>
            </w:r>
          </w:p>
        </w:tc>
        <w:tc>
          <w:tcPr>
            <w:tcW w:w="6663" w:type="dxa"/>
            <w:tcBorders>
              <w:bottom w:val="single" w:sz="4" w:space="0" w:color="auto"/>
            </w:tcBorders>
          </w:tcPr>
          <w:p w:rsidR="00032560" w:rsidRPr="00892C3C" w:rsidRDefault="00032560" w:rsidP="006B54CA">
            <w:pPr>
              <w:rPr>
                <w:rFonts w:ascii="Times New Roman" w:hAnsi="Times New Roman" w:cs="Times New Roman"/>
                <w:sz w:val="20"/>
                <w:szCs w:val="20"/>
              </w:rPr>
            </w:pPr>
          </w:p>
        </w:tc>
      </w:tr>
      <w:tr w:rsidR="00812902" w:rsidTr="00E60114">
        <w:trPr>
          <w:cantSplit/>
          <w:trHeight w:val="1504"/>
        </w:trPr>
        <w:tc>
          <w:tcPr>
            <w:tcW w:w="1485" w:type="dxa"/>
            <w:tcBorders>
              <w:top w:val="nil"/>
              <w:bottom w:val="nil"/>
              <w:right w:val="single" w:sz="4" w:space="0" w:color="auto"/>
            </w:tcBorders>
          </w:tcPr>
          <w:p w:rsidR="00812902" w:rsidRDefault="00812902" w:rsidP="00812902">
            <w:pPr>
              <w:jc w:val="center"/>
              <w:rPr>
                <w:rFonts w:ascii="Times New Roman" w:hAnsi="Times New Roman" w:cs="Times New Roman"/>
                <w:sz w:val="20"/>
                <w:szCs w:val="20"/>
              </w:rPr>
            </w:pPr>
          </w:p>
        </w:tc>
        <w:tc>
          <w:tcPr>
            <w:tcW w:w="7128" w:type="dxa"/>
            <w:tcBorders>
              <w:top w:val="single" w:sz="4" w:space="0" w:color="auto"/>
              <w:left w:val="single" w:sz="4" w:space="0" w:color="auto"/>
              <w:bottom w:val="single" w:sz="4" w:space="0" w:color="auto"/>
              <w:right w:val="single" w:sz="4" w:space="0" w:color="auto"/>
            </w:tcBorders>
          </w:tcPr>
          <w:p w:rsidR="00812902" w:rsidRDefault="00812902" w:rsidP="00812902">
            <w:pPr>
              <w:autoSpaceDE w:val="0"/>
              <w:autoSpaceDN w:val="0"/>
              <w:adjustRightInd w:val="0"/>
              <w:jc w:val="both"/>
              <w:rPr>
                <w:rFonts w:ascii="Times New Roman" w:hAnsi="Times New Roman" w:cs="Times New Roman"/>
                <w:sz w:val="20"/>
                <w:szCs w:val="20"/>
              </w:rPr>
            </w:pPr>
            <w:r w:rsidRPr="00A26B2C">
              <w:rPr>
                <w:rFonts w:ascii="Times New Roman" w:hAnsi="Times New Roman" w:cs="Times New Roman"/>
                <w:sz w:val="20"/>
                <w:szCs w:val="20"/>
              </w:rPr>
              <w:t>а) операции с остатками средств учитываются на лицевых счетах, открытых в Департаменте финансов автономного округа для учета операций со средствами юридического лица (его обособленного подразделения), крестьянского (фермерского) хозяйства, индивидуального предпринимателя, не являющихся участниками бюджетного процесса, предоставленными из бюджета автономного округа в виде субсидии;</w:t>
            </w:r>
          </w:p>
        </w:tc>
        <w:tc>
          <w:tcPr>
            <w:tcW w:w="6663" w:type="dxa"/>
            <w:tcBorders>
              <w:top w:val="single" w:sz="4" w:space="0" w:color="auto"/>
              <w:left w:val="single" w:sz="4" w:space="0" w:color="auto"/>
              <w:bottom w:val="single" w:sz="4" w:space="0" w:color="auto"/>
              <w:right w:val="single" w:sz="4" w:space="0" w:color="auto"/>
            </w:tcBorders>
          </w:tcPr>
          <w:p w:rsidR="00812902" w:rsidRPr="001D0F88" w:rsidRDefault="00BE0446" w:rsidP="00E60114">
            <w:pPr>
              <w:ind w:firstLine="459"/>
              <w:jc w:val="both"/>
              <w:rPr>
                <w:rFonts w:ascii="Times New Roman" w:hAnsi="Times New Roman" w:cs="Times New Roman"/>
                <w:sz w:val="20"/>
                <w:szCs w:val="20"/>
              </w:rPr>
            </w:pPr>
            <w:r w:rsidRPr="00BE0446">
              <w:rPr>
                <w:rFonts w:ascii="Times New Roman" w:hAnsi="Times New Roman" w:cs="Times New Roman"/>
                <w:sz w:val="20"/>
                <w:szCs w:val="20"/>
              </w:rPr>
              <w:t>операции с остатками средств учитыва</w:t>
            </w:r>
            <w:r>
              <w:rPr>
                <w:rFonts w:ascii="Times New Roman" w:hAnsi="Times New Roman" w:cs="Times New Roman"/>
                <w:sz w:val="20"/>
                <w:szCs w:val="20"/>
              </w:rPr>
              <w:t>лись</w:t>
            </w:r>
            <w:r w:rsidRPr="00BE0446">
              <w:rPr>
                <w:rFonts w:ascii="Times New Roman" w:hAnsi="Times New Roman" w:cs="Times New Roman"/>
                <w:sz w:val="20"/>
                <w:szCs w:val="20"/>
              </w:rPr>
              <w:t xml:space="preserve"> на лицевых счетах, открытых в Департаменте финансов автономного округа для учета операций со средствами юридического лица (его обособленного подразделения), крестьянского (фермерского) хозяйства, индивидуального предпринимателя, не являющихся участниками бюджетного процесса, предоставленными из бюджета автономного округа в виде субсидии</w:t>
            </w:r>
            <w:r>
              <w:rPr>
                <w:rFonts w:ascii="Times New Roman" w:hAnsi="Times New Roman" w:cs="Times New Roman"/>
                <w:sz w:val="20"/>
                <w:szCs w:val="20"/>
              </w:rPr>
              <w:t>.</w:t>
            </w:r>
          </w:p>
        </w:tc>
      </w:tr>
      <w:tr w:rsidR="00E60114" w:rsidTr="00E60114">
        <w:trPr>
          <w:cantSplit/>
          <w:trHeight w:val="3537"/>
        </w:trPr>
        <w:tc>
          <w:tcPr>
            <w:tcW w:w="1485" w:type="dxa"/>
            <w:tcBorders>
              <w:top w:val="nil"/>
              <w:right w:val="single" w:sz="4" w:space="0" w:color="auto"/>
            </w:tcBorders>
          </w:tcPr>
          <w:p w:rsidR="00E60114" w:rsidRDefault="00E60114" w:rsidP="00812902">
            <w:pPr>
              <w:jc w:val="center"/>
              <w:rPr>
                <w:rFonts w:ascii="Times New Roman" w:hAnsi="Times New Roman" w:cs="Times New Roman"/>
                <w:sz w:val="20"/>
                <w:szCs w:val="20"/>
              </w:rPr>
            </w:pPr>
          </w:p>
        </w:tc>
        <w:tc>
          <w:tcPr>
            <w:tcW w:w="7128" w:type="dxa"/>
            <w:tcBorders>
              <w:top w:val="single" w:sz="4" w:space="0" w:color="auto"/>
              <w:left w:val="single" w:sz="4" w:space="0" w:color="auto"/>
              <w:bottom w:val="single" w:sz="4" w:space="0" w:color="auto"/>
              <w:right w:val="single" w:sz="4" w:space="0" w:color="auto"/>
            </w:tcBorders>
          </w:tcPr>
          <w:p w:rsidR="00E60114" w:rsidRPr="00A26B2C" w:rsidRDefault="00E60114" w:rsidP="00812902">
            <w:pPr>
              <w:autoSpaceDE w:val="0"/>
              <w:autoSpaceDN w:val="0"/>
              <w:adjustRightInd w:val="0"/>
              <w:jc w:val="both"/>
              <w:rPr>
                <w:rFonts w:ascii="Times New Roman" w:hAnsi="Times New Roman" w:cs="Times New Roman"/>
                <w:sz w:val="20"/>
                <w:szCs w:val="20"/>
              </w:rPr>
            </w:pPr>
            <w:r w:rsidRPr="00A26B2C">
              <w:rPr>
                <w:rFonts w:ascii="Times New Roman" w:hAnsi="Times New Roman" w:cs="Times New Roman"/>
                <w:sz w:val="20"/>
                <w:szCs w:val="20"/>
              </w:rPr>
              <w:t>б) главные распорядители средств бюджета автономного округа, предоставившие как получатели бюджетных средств из бюджета автономного округа средства, в срок до 5 февраля 2020 года готовят обоснование о необходимости принятия (непринятия) решения об использовании полностью или частично остатков указанных средств на цели, ранее установленные условиями предоставления целевых средств (с последующим уточнением бюджетных ассигнований на предоставление в 2020 году соответствующим юридическим лицам средств), и за подписью первого заместителя (заместителя) Губернатора Ханты-Мансийского автономного округа - Югры, координирующего деятельность исполнительного органа государственной власти автономного округа, находящегося в его ведении, направляют в Департамент финансов автономного округа и Департамент экономического развития автономного округа в соответствии с полномочиям для согласования, которые в срок до 10 февраля 2020 года согласовывают (не согласовывают) их использование в 20</w:t>
            </w:r>
            <w:r>
              <w:rPr>
                <w:rFonts w:ascii="Times New Roman" w:hAnsi="Times New Roman" w:cs="Times New Roman"/>
                <w:sz w:val="20"/>
                <w:szCs w:val="20"/>
              </w:rPr>
              <w:t>20 году полностью или частично;</w:t>
            </w:r>
          </w:p>
        </w:tc>
        <w:tc>
          <w:tcPr>
            <w:tcW w:w="6663" w:type="dxa"/>
            <w:tcBorders>
              <w:top w:val="single" w:sz="4" w:space="0" w:color="auto"/>
              <w:left w:val="single" w:sz="4" w:space="0" w:color="auto"/>
              <w:bottom w:val="single" w:sz="4" w:space="0" w:color="auto"/>
              <w:right w:val="single" w:sz="4" w:space="0" w:color="auto"/>
            </w:tcBorders>
          </w:tcPr>
          <w:p w:rsidR="00E60114" w:rsidRDefault="00E60114" w:rsidP="00E60114">
            <w:pPr>
              <w:ind w:firstLine="459"/>
              <w:jc w:val="both"/>
              <w:rPr>
                <w:rFonts w:ascii="Times New Roman" w:hAnsi="Times New Roman" w:cs="Times New Roman"/>
                <w:sz w:val="20"/>
                <w:szCs w:val="20"/>
              </w:rPr>
            </w:pPr>
            <w:r>
              <w:rPr>
                <w:rFonts w:ascii="Times New Roman" w:hAnsi="Times New Roman" w:cs="Times New Roman"/>
                <w:sz w:val="20"/>
                <w:szCs w:val="20"/>
              </w:rPr>
              <w:t>об</w:t>
            </w:r>
            <w:r w:rsidRPr="00032560">
              <w:rPr>
                <w:rFonts w:ascii="Times New Roman" w:hAnsi="Times New Roman" w:cs="Times New Roman"/>
                <w:sz w:val="20"/>
                <w:szCs w:val="20"/>
              </w:rPr>
              <w:t>основание необходимости принятия (непринятия) решения об использовании полностью или частично остатков указанных</w:t>
            </w:r>
            <w:r>
              <w:rPr>
                <w:rFonts w:ascii="Times New Roman" w:hAnsi="Times New Roman" w:cs="Times New Roman"/>
                <w:sz w:val="20"/>
                <w:szCs w:val="20"/>
              </w:rPr>
              <w:t xml:space="preserve"> в пункте</w:t>
            </w:r>
            <w:r w:rsidRPr="00032560">
              <w:rPr>
                <w:rFonts w:ascii="Times New Roman" w:hAnsi="Times New Roman" w:cs="Times New Roman"/>
                <w:sz w:val="20"/>
                <w:szCs w:val="20"/>
              </w:rPr>
              <w:t xml:space="preserve"> средств на цели, ранее установленные условиями предоставления целевых средств, </w:t>
            </w:r>
            <w:r>
              <w:rPr>
                <w:rFonts w:ascii="Times New Roman" w:hAnsi="Times New Roman" w:cs="Times New Roman"/>
                <w:sz w:val="20"/>
                <w:szCs w:val="20"/>
              </w:rPr>
              <w:t>направлены</w:t>
            </w:r>
            <w:r w:rsidRPr="00032560">
              <w:rPr>
                <w:rFonts w:ascii="Times New Roman" w:hAnsi="Times New Roman" w:cs="Times New Roman"/>
                <w:sz w:val="20"/>
                <w:szCs w:val="20"/>
              </w:rPr>
              <w:t xml:space="preserve"> </w:t>
            </w:r>
            <w:r>
              <w:rPr>
                <w:rFonts w:ascii="Times New Roman" w:hAnsi="Times New Roman" w:cs="Times New Roman"/>
                <w:sz w:val="20"/>
                <w:szCs w:val="20"/>
              </w:rPr>
              <w:t xml:space="preserve">соответствующими главными распорядителями средств бюджета автономного округа </w:t>
            </w:r>
            <w:r w:rsidRPr="00032560">
              <w:rPr>
                <w:rFonts w:ascii="Times New Roman" w:hAnsi="Times New Roman" w:cs="Times New Roman"/>
                <w:sz w:val="20"/>
                <w:szCs w:val="20"/>
              </w:rPr>
              <w:t>в Департамент финансов</w:t>
            </w:r>
            <w:r>
              <w:rPr>
                <w:rFonts w:ascii="Times New Roman" w:hAnsi="Times New Roman" w:cs="Times New Roman"/>
                <w:sz w:val="20"/>
                <w:szCs w:val="20"/>
              </w:rPr>
              <w:t xml:space="preserve"> автономного округа </w:t>
            </w:r>
            <w:r w:rsidRPr="00032560">
              <w:rPr>
                <w:rFonts w:ascii="Times New Roman" w:hAnsi="Times New Roman" w:cs="Times New Roman"/>
                <w:sz w:val="20"/>
                <w:szCs w:val="20"/>
              </w:rPr>
              <w:t>в установленные сроки.</w:t>
            </w:r>
          </w:p>
          <w:p w:rsidR="00E60114" w:rsidRDefault="00E60114" w:rsidP="00BE0446">
            <w:pPr>
              <w:ind w:firstLine="459"/>
              <w:jc w:val="both"/>
              <w:rPr>
                <w:rFonts w:ascii="Times New Roman" w:hAnsi="Times New Roman" w:cs="Times New Roman"/>
                <w:sz w:val="20"/>
                <w:szCs w:val="20"/>
              </w:rPr>
            </w:pPr>
          </w:p>
        </w:tc>
      </w:tr>
      <w:tr w:rsidR="00812902" w:rsidTr="002D66BA">
        <w:trPr>
          <w:cantSplit/>
          <w:trHeight w:val="3540"/>
        </w:trPr>
        <w:tc>
          <w:tcPr>
            <w:tcW w:w="1485" w:type="dxa"/>
            <w:tcBorders>
              <w:bottom w:val="nil"/>
            </w:tcBorders>
          </w:tcPr>
          <w:p w:rsidR="00812902" w:rsidRDefault="00812902" w:rsidP="00812902">
            <w:pPr>
              <w:jc w:val="center"/>
              <w:rPr>
                <w:rFonts w:ascii="Times New Roman" w:hAnsi="Times New Roman" w:cs="Times New Roman"/>
                <w:sz w:val="20"/>
                <w:szCs w:val="20"/>
              </w:rPr>
            </w:pPr>
          </w:p>
        </w:tc>
        <w:tc>
          <w:tcPr>
            <w:tcW w:w="7128" w:type="dxa"/>
            <w:tcBorders>
              <w:top w:val="single" w:sz="4" w:space="0" w:color="auto"/>
              <w:bottom w:val="single" w:sz="4" w:space="0" w:color="auto"/>
            </w:tcBorders>
          </w:tcPr>
          <w:p w:rsidR="00812902" w:rsidRPr="00A26B2C" w:rsidRDefault="00812902" w:rsidP="00812902">
            <w:pPr>
              <w:autoSpaceDE w:val="0"/>
              <w:autoSpaceDN w:val="0"/>
              <w:adjustRightInd w:val="0"/>
              <w:jc w:val="both"/>
              <w:rPr>
                <w:rFonts w:ascii="Times New Roman" w:hAnsi="Times New Roman" w:cs="Times New Roman"/>
                <w:sz w:val="20"/>
                <w:szCs w:val="20"/>
              </w:rPr>
            </w:pPr>
            <w:r w:rsidRPr="00A26B2C">
              <w:rPr>
                <w:rFonts w:ascii="Times New Roman" w:hAnsi="Times New Roman" w:cs="Times New Roman"/>
                <w:sz w:val="20"/>
                <w:szCs w:val="20"/>
              </w:rPr>
              <w:t>в) при непредставлении в Департамент финансов автономного округа обоснования о необходимости принятия (непринятия) решения об использовании полностью или частично остатков указанных средств на цели, ранее установленные условиями предоставления целевых средств, подписанного первым заместителем (заместителем) Губернатора Ханты-Мансийского автономного округа - Югры, координирующим деятельность исполнительного органа государственной власти автономного округа, находящегося в его ведении, либо отсутствии согласованного решения главного распорядителя средств бюджета автономного округа, Департамента финансов автономного округа и Департамента экономического развития автономного округа, юридические лица в срок до 14 февраля 2020 года перечисляют остатки средств с лицевых счетов для учета операций со средствами юридического лица (его обособленного подразделения), крестьянского (фермерского) хозяйства, индивидуального предпринимателя, не являющихся участниками бюджетного процесса, предоставленными из бюджета автономного округа в виде субсидии, в доход бюджета автономного округа;</w:t>
            </w:r>
          </w:p>
        </w:tc>
        <w:tc>
          <w:tcPr>
            <w:tcW w:w="6663" w:type="dxa"/>
            <w:tcBorders>
              <w:top w:val="single" w:sz="4" w:space="0" w:color="auto"/>
              <w:bottom w:val="single" w:sz="4" w:space="0" w:color="auto"/>
            </w:tcBorders>
          </w:tcPr>
          <w:p w:rsidR="00812902" w:rsidRPr="001D0F88" w:rsidRDefault="00812902" w:rsidP="000C5896">
            <w:pPr>
              <w:ind w:firstLine="459"/>
              <w:jc w:val="both"/>
              <w:rPr>
                <w:rFonts w:ascii="Times New Roman" w:hAnsi="Times New Roman" w:cs="Times New Roman"/>
                <w:sz w:val="20"/>
                <w:szCs w:val="20"/>
              </w:rPr>
            </w:pPr>
            <w:r>
              <w:rPr>
                <w:rFonts w:ascii="Times New Roman" w:hAnsi="Times New Roman" w:cs="Times New Roman"/>
                <w:sz w:val="20"/>
                <w:szCs w:val="20"/>
              </w:rPr>
              <w:t>юридические лица перечислили остатки средств предоставленных субсидий из бюджета автономного округа, не подлежащие использованию на цели, ранее установленные условиями предоставления целевых средств, в доход бюджета автономного округа в установленный срок.</w:t>
            </w:r>
          </w:p>
        </w:tc>
      </w:tr>
      <w:tr w:rsidR="00812902" w:rsidTr="002D66BA">
        <w:trPr>
          <w:cantSplit/>
          <w:trHeight w:val="2300"/>
        </w:trPr>
        <w:tc>
          <w:tcPr>
            <w:tcW w:w="1485" w:type="dxa"/>
            <w:tcBorders>
              <w:top w:val="nil"/>
            </w:tcBorders>
          </w:tcPr>
          <w:p w:rsidR="00812902" w:rsidRDefault="00812902" w:rsidP="00812902">
            <w:pPr>
              <w:jc w:val="center"/>
              <w:rPr>
                <w:rFonts w:ascii="Times New Roman" w:hAnsi="Times New Roman" w:cs="Times New Roman"/>
                <w:sz w:val="20"/>
                <w:szCs w:val="20"/>
              </w:rPr>
            </w:pPr>
          </w:p>
        </w:tc>
        <w:tc>
          <w:tcPr>
            <w:tcW w:w="7128" w:type="dxa"/>
            <w:tcBorders>
              <w:top w:val="single" w:sz="4" w:space="0" w:color="auto"/>
            </w:tcBorders>
          </w:tcPr>
          <w:p w:rsidR="00812902" w:rsidRDefault="00812902" w:rsidP="00812902">
            <w:pPr>
              <w:pStyle w:val="ConsPlusNormal"/>
              <w:jc w:val="both"/>
            </w:pPr>
            <w:r w:rsidRPr="00B669E0">
              <w:t xml:space="preserve">г) </w:t>
            </w:r>
            <w:r>
              <w:t>расходы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остатки средств субсидии, осуществляются при условии:</w:t>
            </w:r>
          </w:p>
          <w:p w:rsidR="00812902" w:rsidRDefault="00812902" w:rsidP="00812902">
            <w:pPr>
              <w:pStyle w:val="ConsPlusNormal"/>
              <w:jc w:val="both"/>
            </w:pPr>
            <w:proofErr w:type="spellStart"/>
            <w:r>
              <w:t>неперечисления</w:t>
            </w:r>
            <w:proofErr w:type="spellEnd"/>
            <w:r>
              <w:t xml:space="preserve"> в качестве взноса в уставный капитал другой организации, если нормативными правовыми актами, регулирующими порядок предоставления целевых средств, не предусмотрена возможность перечисления средств в качестве взноса в уставный капитал другой организации;</w:t>
            </w:r>
          </w:p>
          <w:p w:rsidR="00812902" w:rsidRPr="00B669E0" w:rsidRDefault="00812902" w:rsidP="00812902">
            <w:pPr>
              <w:pStyle w:val="ConsPlusNormal"/>
              <w:jc w:val="both"/>
            </w:pPr>
            <w:proofErr w:type="spellStart"/>
            <w:r>
              <w:t>неразмещения</w:t>
            </w:r>
            <w:proofErr w:type="spellEnd"/>
            <w:r>
              <w:t xml:space="preserve"> указанных средств на депозиты, в иные финансовые инструменты, за исключением случаев, установленных нормативными правовыми актами.</w:t>
            </w:r>
          </w:p>
        </w:tc>
        <w:tc>
          <w:tcPr>
            <w:tcW w:w="6663" w:type="dxa"/>
            <w:tcBorders>
              <w:top w:val="single" w:sz="4" w:space="0" w:color="auto"/>
            </w:tcBorders>
          </w:tcPr>
          <w:p w:rsidR="005C5B40" w:rsidRDefault="00E60114" w:rsidP="00E60114">
            <w:pPr>
              <w:ind w:firstLine="459"/>
              <w:jc w:val="both"/>
              <w:rPr>
                <w:rFonts w:ascii="Times New Roman" w:hAnsi="Times New Roman" w:cs="Times New Roman"/>
                <w:sz w:val="20"/>
                <w:szCs w:val="20"/>
              </w:rPr>
            </w:pPr>
            <w:r w:rsidRPr="00E60114">
              <w:rPr>
                <w:rFonts w:ascii="Times New Roman" w:hAnsi="Times New Roman" w:cs="Times New Roman"/>
                <w:sz w:val="20"/>
                <w:szCs w:val="20"/>
              </w:rPr>
              <w:t>расходы юридических лиц, в том числе неком</w:t>
            </w:r>
            <w:r>
              <w:rPr>
                <w:rFonts w:ascii="Times New Roman" w:hAnsi="Times New Roman" w:cs="Times New Roman"/>
                <w:sz w:val="20"/>
                <w:szCs w:val="20"/>
              </w:rPr>
              <w:t>мерческих организаций, крестьян</w:t>
            </w:r>
            <w:r w:rsidRPr="00E60114">
              <w:rPr>
                <w:rFonts w:ascii="Times New Roman" w:hAnsi="Times New Roman" w:cs="Times New Roman"/>
                <w:sz w:val="20"/>
                <w:szCs w:val="20"/>
              </w:rPr>
              <w:t>ских (фермерских) хозяйств, индивидуальных предпринимателей, источником финансового обеспечения которых являютс</w:t>
            </w:r>
            <w:r>
              <w:rPr>
                <w:rFonts w:ascii="Times New Roman" w:hAnsi="Times New Roman" w:cs="Times New Roman"/>
                <w:sz w:val="20"/>
                <w:szCs w:val="20"/>
              </w:rPr>
              <w:t>я остатки средств субсидии, осу</w:t>
            </w:r>
            <w:r w:rsidRPr="00E60114">
              <w:rPr>
                <w:rFonts w:ascii="Times New Roman" w:hAnsi="Times New Roman" w:cs="Times New Roman"/>
                <w:sz w:val="20"/>
                <w:szCs w:val="20"/>
              </w:rPr>
              <w:t>ществля</w:t>
            </w:r>
            <w:r>
              <w:rPr>
                <w:rFonts w:ascii="Times New Roman" w:hAnsi="Times New Roman" w:cs="Times New Roman"/>
                <w:sz w:val="20"/>
                <w:szCs w:val="20"/>
              </w:rPr>
              <w:t>лись</w:t>
            </w:r>
            <w:r w:rsidRPr="00E60114">
              <w:rPr>
                <w:rFonts w:ascii="Times New Roman" w:hAnsi="Times New Roman" w:cs="Times New Roman"/>
                <w:sz w:val="20"/>
                <w:szCs w:val="20"/>
              </w:rPr>
              <w:t xml:space="preserve"> при</w:t>
            </w:r>
            <w:r>
              <w:rPr>
                <w:rFonts w:ascii="Times New Roman" w:hAnsi="Times New Roman" w:cs="Times New Roman"/>
                <w:sz w:val="20"/>
                <w:szCs w:val="20"/>
              </w:rPr>
              <w:t xml:space="preserve"> соблюдении установленных условий.</w:t>
            </w:r>
          </w:p>
          <w:p w:rsidR="00812902" w:rsidRPr="001D0F88" w:rsidRDefault="00812902" w:rsidP="00812902">
            <w:pPr>
              <w:ind w:firstLine="459"/>
              <w:rPr>
                <w:rFonts w:ascii="Times New Roman" w:hAnsi="Times New Roman" w:cs="Times New Roman"/>
                <w:sz w:val="20"/>
                <w:szCs w:val="20"/>
              </w:rPr>
            </w:pPr>
          </w:p>
        </w:tc>
      </w:tr>
      <w:tr w:rsidR="00812902" w:rsidTr="00A63E32">
        <w:trPr>
          <w:cantSplit/>
          <w:trHeight w:val="2300"/>
        </w:trPr>
        <w:tc>
          <w:tcPr>
            <w:tcW w:w="1485" w:type="dxa"/>
          </w:tcPr>
          <w:p w:rsidR="00812902" w:rsidRDefault="00812902" w:rsidP="00812902">
            <w:pPr>
              <w:jc w:val="center"/>
              <w:rPr>
                <w:rFonts w:ascii="Times New Roman" w:hAnsi="Times New Roman" w:cs="Times New Roman"/>
                <w:sz w:val="20"/>
                <w:szCs w:val="20"/>
              </w:rPr>
            </w:pPr>
            <w:r>
              <w:rPr>
                <w:rFonts w:ascii="Times New Roman" w:hAnsi="Times New Roman" w:cs="Times New Roman"/>
                <w:sz w:val="20"/>
                <w:szCs w:val="20"/>
              </w:rPr>
              <w:t>13.</w:t>
            </w:r>
          </w:p>
        </w:tc>
        <w:tc>
          <w:tcPr>
            <w:tcW w:w="7128" w:type="dxa"/>
          </w:tcPr>
          <w:p w:rsidR="00812902" w:rsidRDefault="00812902" w:rsidP="00812902">
            <w:pPr>
              <w:pStyle w:val="ConsPlusNormal"/>
              <w:jc w:val="both"/>
            </w:pPr>
            <w:bookmarkStart w:id="1" w:name="Par0"/>
            <w:bookmarkEnd w:id="1"/>
            <w:r>
              <w:t xml:space="preserve">Главные распорядители средств бюджета автономного округа не позднее 30-го рабочего дня со дня поступления юридическим лицам, в том числе некоммерческим организациям, крестьянским (фермерским) хозяйствам, индивидуальным предпринимателям, средств в качестве возврата дебиторской задолженности прошлых лет, источником финансового обеспечения которых являются средства субсидии, указанные в </w:t>
            </w:r>
            <w:hyperlink w:anchor="Par61" w:tooltip="10. Главные распорядители средств бюджета автономного округа после заключения соглашений (договоров) о предоставлении из бюджета автономного округа субсидий включают информацию по каждому соглашению (договору) в реестр соглашений (договоров) о предоставлении и" w:history="1">
              <w:r w:rsidRPr="00DB57D2">
                <w:t>пункте 10</w:t>
              </w:r>
            </w:hyperlink>
            <w:r w:rsidRPr="00DB57D2">
              <w:t xml:space="preserve"> нас</w:t>
            </w:r>
            <w:r>
              <w:t>тоящего постановления, принимают решения об использовании указанных средств для достижения целей, установленных при их предоставлении.</w:t>
            </w:r>
          </w:p>
          <w:p w:rsidR="00812902" w:rsidRPr="00B669E0" w:rsidRDefault="00812902" w:rsidP="00812902">
            <w:pPr>
              <w:pStyle w:val="ConsPlusNormal"/>
              <w:jc w:val="both"/>
            </w:pPr>
            <w:r>
              <w:t xml:space="preserve">При отсутствии решений, указанных </w:t>
            </w:r>
            <w:r w:rsidRPr="00DB57D2">
              <w:t xml:space="preserve">в </w:t>
            </w:r>
            <w:hyperlink w:anchor="Par70" w:tooltip="13. Главные распорядители средств бюджета автономного округа не позднее 30-го рабочего дня со дня поступления юридическим лицам, в том числе некоммерческим организациям, крестьянским (фермерским) хозяйствам, индивидуальным предпринимателям, средств в качестве " w:history="1">
              <w:r w:rsidRPr="00DB57D2">
                <w:t>абзаце первом</w:t>
              </w:r>
            </w:hyperlink>
            <w:r w:rsidRPr="00DB57D2">
              <w:t xml:space="preserve"> настоящего </w:t>
            </w:r>
            <w:r>
              <w:t>пункта, на 30 рабочий день со дня поступления сумм возврата дебиторской задолженности прошлых лет средства от возврата дебиторской задолженности подлежат перечислению юридическими лицами, в том числе некоммерческими организациями, крестьянскими (фермерскими) хозяйствами, индивидуальными предпринимателями в доход бюджета автономного округа.</w:t>
            </w:r>
          </w:p>
        </w:tc>
        <w:tc>
          <w:tcPr>
            <w:tcW w:w="6663" w:type="dxa"/>
          </w:tcPr>
          <w:p w:rsidR="00E60114" w:rsidRDefault="00E60114" w:rsidP="00E60114">
            <w:pPr>
              <w:ind w:firstLine="459"/>
              <w:jc w:val="both"/>
              <w:rPr>
                <w:rFonts w:ascii="Times New Roman" w:hAnsi="Times New Roman" w:cs="Times New Roman"/>
                <w:sz w:val="20"/>
                <w:szCs w:val="20"/>
              </w:rPr>
            </w:pPr>
            <w:r w:rsidRPr="00E60114">
              <w:rPr>
                <w:rFonts w:ascii="Times New Roman" w:hAnsi="Times New Roman" w:cs="Times New Roman"/>
                <w:sz w:val="20"/>
                <w:szCs w:val="20"/>
              </w:rPr>
              <w:t>Главны</w:t>
            </w:r>
            <w:r>
              <w:rPr>
                <w:rFonts w:ascii="Times New Roman" w:hAnsi="Times New Roman" w:cs="Times New Roman"/>
                <w:sz w:val="20"/>
                <w:szCs w:val="20"/>
              </w:rPr>
              <w:t>ми</w:t>
            </w:r>
            <w:r w:rsidRPr="00E60114">
              <w:rPr>
                <w:rFonts w:ascii="Times New Roman" w:hAnsi="Times New Roman" w:cs="Times New Roman"/>
                <w:sz w:val="20"/>
                <w:szCs w:val="20"/>
              </w:rPr>
              <w:t xml:space="preserve"> распорядител</w:t>
            </w:r>
            <w:r>
              <w:rPr>
                <w:rFonts w:ascii="Times New Roman" w:hAnsi="Times New Roman" w:cs="Times New Roman"/>
                <w:sz w:val="20"/>
                <w:szCs w:val="20"/>
              </w:rPr>
              <w:t>ями</w:t>
            </w:r>
            <w:r w:rsidRPr="00E60114">
              <w:rPr>
                <w:rFonts w:ascii="Times New Roman" w:hAnsi="Times New Roman" w:cs="Times New Roman"/>
                <w:sz w:val="20"/>
                <w:szCs w:val="20"/>
              </w:rPr>
              <w:t xml:space="preserve"> средств бюджета автономного округа </w:t>
            </w:r>
            <w:r>
              <w:rPr>
                <w:rFonts w:ascii="Times New Roman" w:hAnsi="Times New Roman" w:cs="Times New Roman"/>
                <w:sz w:val="20"/>
                <w:szCs w:val="20"/>
              </w:rPr>
              <w:t xml:space="preserve">были </w:t>
            </w:r>
            <w:r w:rsidRPr="00E60114">
              <w:rPr>
                <w:rFonts w:ascii="Times New Roman" w:hAnsi="Times New Roman" w:cs="Times New Roman"/>
                <w:sz w:val="20"/>
                <w:szCs w:val="20"/>
              </w:rPr>
              <w:t>прин</w:t>
            </w:r>
            <w:r>
              <w:rPr>
                <w:rFonts w:ascii="Times New Roman" w:hAnsi="Times New Roman" w:cs="Times New Roman"/>
                <w:sz w:val="20"/>
                <w:szCs w:val="20"/>
              </w:rPr>
              <w:t>яты</w:t>
            </w:r>
            <w:r w:rsidR="000C5029">
              <w:rPr>
                <w:rFonts w:ascii="Times New Roman" w:hAnsi="Times New Roman" w:cs="Times New Roman"/>
                <w:sz w:val="20"/>
                <w:szCs w:val="20"/>
              </w:rPr>
              <w:t xml:space="preserve"> в установленный срок</w:t>
            </w:r>
            <w:r w:rsidRPr="00E60114">
              <w:rPr>
                <w:rFonts w:ascii="Times New Roman" w:hAnsi="Times New Roman" w:cs="Times New Roman"/>
                <w:sz w:val="20"/>
                <w:szCs w:val="20"/>
              </w:rPr>
              <w:t xml:space="preserve"> решения об использовании</w:t>
            </w:r>
            <w:r>
              <w:rPr>
                <w:rFonts w:ascii="Times New Roman" w:hAnsi="Times New Roman" w:cs="Times New Roman"/>
                <w:sz w:val="20"/>
                <w:szCs w:val="20"/>
              </w:rPr>
              <w:t xml:space="preserve"> </w:t>
            </w:r>
            <w:r w:rsidRPr="00E60114">
              <w:rPr>
                <w:rFonts w:ascii="Times New Roman" w:hAnsi="Times New Roman" w:cs="Times New Roman"/>
                <w:sz w:val="20"/>
                <w:szCs w:val="20"/>
              </w:rPr>
              <w:t>средств</w:t>
            </w:r>
            <w:r w:rsidR="00855A99">
              <w:rPr>
                <w:rFonts w:ascii="Times New Roman" w:hAnsi="Times New Roman" w:cs="Times New Roman"/>
                <w:sz w:val="20"/>
                <w:szCs w:val="20"/>
              </w:rPr>
              <w:t>, поступивших</w:t>
            </w:r>
            <w:r w:rsidRPr="00E60114">
              <w:rPr>
                <w:rFonts w:ascii="Times New Roman" w:hAnsi="Times New Roman" w:cs="Times New Roman"/>
                <w:sz w:val="20"/>
                <w:szCs w:val="20"/>
              </w:rPr>
              <w:t xml:space="preserve"> в качестве возврата дебиторской задолженности прошлых лет, источником финансового обеспечения которых являются средства субсидии</w:t>
            </w:r>
            <w:r w:rsidR="000C5029">
              <w:rPr>
                <w:rFonts w:ascii="Times New Roman" w:hAnsi="Times New Roman" w:cs="Times New Roman"/>
                <w:sz w:val="20"/>
                <w:szCs w:val="20"/>
              </w:rPr>
              <w:t xml:space="preserve">. </w:t>
            </w:r>
          </w:p>
          <w:p w:rsidR="00E60114" w:rsidRDefault="00E60114" w:rsidP="00E60114">
            <w:pPr>
              <w:ind w:firstLine="459"/>
              <w:jc w:val="both"/>
              <w:rPr>
                <w:rFonts w:ascii="Times New Roman" w:hAnsi="Times New Roman" w:cs="Times New Roman"/>
                <w:sz w:val="20"/>
                <w:szCs w:val="20"/>
              </w:rPr>
            </w:pPr>
            <w:r w:rsidRPr="00E60114">
              <w:rPr>
                <w:rFonts w:ascii="Times New Roman" w:hAnsi="Times New Roman" w:cs="Times New Roman"/>
                <w:sz w:val="20"/>
                <w:szCs w:val="20"/>
              </w:rPr>
              <w:t>Остатки средств с лицевых счетов для учета операций со средствами юридического лица, не являющихся участниками бюджетного процесса, предоставленными из бюджета автономного округа в виде субсидии и согласованные для использования в 2020 году, были использованы на достижение целей, установленных при их предоставлении.</w:t>
            </w:r>
          </w:p>
          <w:p w:rsidR="00E60114" w:rsidRPr="00E60114" w:rsidRDefault="000C5029" w:rsidP="00E60114">
            <w:pPr>
              <w:ind w:firstLine="459"/>
              <w:jc w:val="both"/>
              <w:rPr>
                <w:rFonts w:ascii="Times New Roman" w:hAnsi="Times New Roman" w:cs="Times New Roman"/>
                <w:sz w:val="20"/>
                <w:szCs w:val="20"/>
              </w:rPr>
            </w:pPr>
            <w:r>
              <w:rPr>
                <w:rFonts w:ascii="Times New Roman" w:hAnsi="Times New Roman" w:cs="Times New Roman"/>
                <w:sz w:val="20"/>
                <w:szCs w:val="20"/>
              </w:rPr>
              <w:t xml:space="preserve">В связи с отсутствием соответствующих решений </w:t>
            </w:r>
            <w:r w:rsidR="00E60114" w:rsidRPr="00E60114">
              <w:rPr>
                <w:rFonts w:ascii="Times New Roman" w:hAnsi="Times New Roman" w:cs="Times New Roman"/>
                <w:sz w:val="20"/>
                <w:szCs w:val="20"/>
              </w:rPr>
              <w:t>перечислены</w:t>
            </w:r>
            <w:r>
              <w:rPr>
                <w:rFonts w:ascii="Times New Roman" w:hAnsi="Times New Roman" w:cs="Times New Roman"/>
                <w:sz w:val="20"/>
                <w:szCs w:val="20"/>
              </w:rPr>
              <w:t xml:space="preserve"> средства</w:t>
            </w:r>
            <w:r w:rsidR="00E60114" w:rsidRPr="00E60114">
              <w:rPr>
                <w:rFonts w:ascii="Times New Roman" w:hAnsi="Times New Roman" w:cs="Times New Roman"/>
                <w:sz w:val="20"/>
                <w:szCs w:val="20"/>
              </w:rPr>
              <w:t>:</w:t>
            </w:r>
          </w:p>
          <w:p w:rsidR="00E60114" w:rsidRPr="00E60114" w:rsidRDefault="00E60114" w:rsidP="00E60114">
            <w:pPr>
              <w:ind w:firstLine="459"/>
              <w:jc w:val="both"/>
              <w:rPr>
                <w:rFonts w:ascii="Times New Roman" w:hAnsi="Times New Roman" w:cs="Times New Roman"/>
                <w:sz w:val="20"/>
                <w:szCs w:val="20"/>
              </w:rPr>
            </w:pPr>
            <w:r w:rsidRPr="00E60114">
              <w:rPr>
                <w:rFonts w:ascii="Times New Roman" w:hAnsi="Times New Roman" w:cs="Times New Roman"/>
                <w:sz w:val="20"/>
                <w:szCs w:val="20"/>
              </w:rPr>
              <w:t xml:space="preserve">- </w:t>
            </w:r>
            <w:r w:rsidR="00683338" w:rsidRPr="00E60114">
              <w:rPr>
                <w:rFonts w:ascii="Times New Roman" w:hAnsi="Times New Roman" w:cs="Times New Roman"/>
                <w:sz w:val="20"/>
                <w:szCs w:val="20"/>
              </w:rPr>
              <w:t>предоставленной субсидии Фонду поддержки предпринимательства Югры в рамках реализации регионального проекта «Акселерация субъектов малого и среднего предпринимательства»</w:t>
            </w:r>
            <w:r w:rsidR="00683338">
              <w:rPr>
                <w:rFonts w:ascii="Times New Roman" w:hAnsi="Times New Roman" w:cs="Times New Roman"/>
                <w:sz w:val="20"/>
                <w:szCs w:val="20"/>
              </w:rPr>
              <w:t xml:space="preserve"> в сумме 67,0 тыс.</w:t>
            </w:r>
            <w:r w:rsidR="00683338" w:rsidRPr="00E60114">
              <w:rPr>
                <w:rFonts w:ascii="Times New Roman" w:hAnsi="Times New Roman" w:cs="Times New Roman"/>
                <w:sz w:val="20"/>
                <w:szCs w:val="20"/>
              </w:rPr>
              <w:t xml:space="preserve"> рублей</w:t>
            </w:r>
            <w:r w:rsidR="00683338">
              <w:rPr>
                <w:rFonts w:ascii="Times New Roman" w:hAnsi="Times New Roman" w:cs="Times New Roman"/>
                <w:sz w:val="20"/>
                <w:szCs w:val="20"/>
              </w:rPr>
              <w:t xml:space="preserve"> в бюджет автономного округа </w:t>
            </w:r>
            <w:r w:rsidR="00683338" w:rsidRPr="00E60114">
              <w:rPr>
                <w:rFonts w:ascii="Times New Roman" w:hAnsi="Times New Roman" w:cs="Times New Roman"/>
                <w:sz w:val="20"/>
                <w:szCs w:val="20"/>
              </w:rPr>
              <w:t>и в сумме 42</w:t>
            </w:r>
            <w:r w:rsidR="00683338">
              <w:rPr>
                <w:rFonts w:ascii="Times New Roman" w:hAnsi="Times New Roman" w:cs="Times New Roman"/>
                <w:sz w:val="20"/>
                <w:szCs w:val="20"/>
              </w:rPr>
              <w:t>,</w:t>
            </w:r>
            <w:r w:rsidR="00683338" w:rsidRPr="00E60114">
              <w:rPr>
                <w:rFonts w:ascii="Times New Roman" w:hAnsi="Times New Roman" w:cs="Times New Roman"/>
                <w:sz w:val="20"/>
                <w:szCs w:val="20"/>
              </w:rPr>
              <w:t>8</w:t>
            </w:r>
            <w:r w:rsidR="00683338">
              <w:rPr>
                <w:rFonts w:ascii="Times New Roman" w:hAnsi="Times New Roman" w:cs="Times New Roman"/>
                <w:sz w:val="20"/>
                <w:szCs w:val="20"/>
              </w:rPr>
              <w:t xml:space="preserve"> тыс.</w:t>
            </w:r>
            <w:r w:rsidR="00683338" w:rsidRPr="00E60114">
              <w:rPr>
                <w:rFonts w:ascii="Times New Roman" w:hAnsi="Times New Roman" w:cs="Times New Roman"/>
                <w:sz w:val="20"/>
                <w:szCs w:val="20"/>
              </w:rPr>
              <w:t xml:space="preserve"> рублей</w:t>
            </w:r>
            <w:r w:rsidR="00683338">
              <w:rPr>
                <w:rFonts w:ascii="Times New Roman" w:hAnsi="Times New Roman" w:cs="Times New Roman"/>
                <w:sz w:val="20"/>
                <w:szCs w:val="20"/>
              </w:rPr>
              <w:t xml:space="preserve"> в</w:t>
            </w:r>
            <w:r w:rsidR="00683338" w:rsidRPr="00E60114">
              <w:rPr>
                <w:rFonts w:ascii="Times New Roman" w:hAnsi="Times New Roman" w:cs="Times New Roman"/>
                <w:sz w:val="20"/>
                <w:szCs w:val="20"/>
              </w:rPr>
              <w:t xml:space="preserve"> федеральный бюджет</w:t>
            </w:r>
            <w:r w:rsidRPr="00E60114">
              <w:rPr>
                <w:rFonts w:ascii="Times New Roman" w:hAnsi="Times New Roman" w:cs="Times New Roman"/>
                <w:sz w:val="20"/>
                <w:szCs w:val="20"/>
              </w:rPr>
              <w:t>;</w:t>
            </w:r>
          </w:p>
          <w:p w:rsidR="00812902" w:rsidRDefault="00E60114" w:rsidP="00683338">
            <w:pPr>
              <w:ind w:firstLine="459"/>
              <w:jc w:val="both"/>
              <w:rPr>
                <w:rFonts w:ascii="Times New Roman" w:hAnsi="Times New Roman" w:cs="Times New Roman"/>
                <w:sz w:val="20"/>
                <w:szCs w:val="20"/>
              </w:rPr>
            </w:pPr>
            <w:r w:rsidRPr="00E60114">
              <w:rPr>
                <w:rFonts w:ascii="Times New Roman" w:hAnsi="Times New Roman" w:cs="Times New Roman"/>
                <w:sz w:val="20"/>
                <w:szCs w:val="20"/>
              </w:rPr>
              <w:t>- предоставленной субсидии «Центр поддержки экспорта Югры» в рамках реализации регионального проекта «Акселерация субъектов малого и среднего предпринимательства» в сумме 22</w:t>
            </w:r>
            <w:r w:rsidR="00683338">
              <w:rPr>
                <w:rFonts w:ascii="Times New Roman" w:hAnsi="Times New Roman" w:cs="Times New Roman"/>
                <w:sz w:val="20"/>
                <w:szCs w:val="20"/>
              </w:rPr>
              <w:t>,4 тыс.</w:t>
            </w:r>
            <w:r w:rsidRPr="00E60114">
              <w:rPr>
                <w:rFonts w:ascii="Times New Roman" w:hAnsi="Times New Roman" w:cs="Times New Roman"/>
                <w:sz w:val="20"/>
                <w:szCs w:val="20"/>
              </w:rPr>
              <w:t xml:space="preserve"> рублей</w:t>
            </w:r>
            <w:r w:rsidR="00683338">
              <w:rPr>
                <w:rFonts w:ascii="Times New Roman" w:hAnsi="Times New Roman" w:cs="Times New Roman"/>
                <w:sz w:val="20"/>
                <w:szCs w:val="20"/>
              </w:rPr>
              <w:t>.</w:t>
            </w:r>
          </w:p>
        </w:tc>
      </w:tr>
      <w:tr w:rsidR="00812902" w:rsidTr="005D6DC0">
        <w:trPr>
          <w:cantSplit/>
          <w:trHeight w:val="485"/>
        </w:trPr>
        <w:tc>
          <w:tcPr>
            <w:tcW w:w="1485" w:type="dxa"/>
          </w:tcPr>
          <w:p w:rsidR="00812902" w:rsidRDefault="00812902" w:rsidP="00812902">
            <w:pPr>
              <w:jc w:val="center"/>
              <w:rPr>
                <w:rFonts w:ascii="Times New Roman" w:hAnsi="Times New Roman" w:cs="Times New Roman"/>
                <w:sz w:val="20"/>
                <w:szCs w:val="20"/>
              </w:rPr>
            </w:pPr>
            <w:r>
              <w:rPr>
                <w:rFonts w:ascii="Times New Roman" w:hAnsi="Times New Roman" w:cs="Times New Roman"/>
                <w:sz w:val="20"/>
                <w:szCs w:val="20"/>
              </w:rPr>
              <w:lastRenderedPageBreak/>
              <w:t>14.</w:t>
            </w:r>
          </w:p>
        </w:tc>
        <w:tc>
          <w:tcPr>
            <w:tcW w:w="7128" w:type="dxa"/>
          </w:tcPr>
          <w:p w:rsidR="00812902" w:rsidRDefault="00812902" w:rsidP="00812902">
            <w:pPr>
              <w:autoSpaceDE w:val="0"/>
              <w:autoSpaceDN w:val="0"/>
              <w:adjustRightInd w:val="0"/>
              <w:jc w:val="both"/>
              <w:rPr>
                <w:rFonts w:ascii="Times New Roman" w:hAnsi="Times New Roman" w:cs="Times New Roman"/>
                <w:sz w:val="20"/>
                <w:szCs w:val="20"/>
              </w:rPr>
            </w:pPr>
            <w:r w:rsidRPr="001220E6">
              <w:rPr>
                <w:rFonts w:ascii="Times New Roman" w:hAnsi="Times New Roman" w:cs="Times New Roman"/>
                <w:sz w:val="20"/>
                <w:szCs w:val="20"/>
              </w:rPr>
              <w:t>Департаменту финансов автономного округа на основе данных исполнительных органов государственной власти автономного округа и исполнительно-распорядительных органов местного самоуправления муниципальных образований автономного округа представлять Правительству Ханты-Мансийского автономного округа - Югры сводную информацию о выполнении настоящего постановления по итогам года в составе документов и материалов к годовому отчету об исполнении бюджета автономного округа за прошедший финансовый год.</w:t>
            </w:r>
          </w:p>
        </w:tc>
        <w:tc>
          <w:tcPr>
            <w:tcW w:w="6663" w:type="dxa"/>
          </w:tcPr>
          <w:p w:rsidR="00812902" w:rsidRDefault="0073477B" w:rsidP="0073477B">
            <w:pPr>
              <w:ind w:firstLine="459"/>
              <w:rPr>
                <w:rFonts w:ascii="Times New Roman" w:hAnsi="Times New Roman" w:cs="Times New Roman"/>
                <w:sz w:val="20"/>
                <w:szCs w:val="20"/>
              </w:rPr>
            </w:pPr>
            <w:r w:rsidRPr="001220E6">
              <w:rPr>
                <w:rFonts w:ascii="Times New Roman" w:hAnsi="Times New Roman" w:cs="Times New Roman"/>
                <w:sz w:val="20"/>
                <w:szCs w:val="20"/>
              </w:rPr>
              <w:t>на основе данных исполнительных органов государственной власти автономного округа и исполнительно-распорядительных органов местного самоуправления муниципальных образований автономного округа</w:t>
            </w:r>
            <w:r w:rsidRPr="00BE0446">
              <w:rPr>
                <w:rFonts w:ascii="Times New Roman" w:hAnsi="Times New Roman" w:cs="Times New Roman"/>
                <w:sz w:val="20"/>
                <w:szCs w:val="20"/>
              </w:rPr>
              <w:t xml:space="preserve"> </w:t>
            </w:r>
            <w:r w:rsidR="00BE0446" w:rsidRPr="00BE0446">
              <w:rPr>
                <w:rFonts w:ascii="Times New Roman" w:hAnsi="Times New Roman" w:cs="Times New Roman"/>
                <w:sz w:val="20"/>
                <w:szCs w:val="20"/>
              </w:rPr>
              <w:t>сводн</w:t>
            </w:r>
            <w:r w:rsidR="00BE0446">
              <w:rPr>
                <w:rFonts w:ascii="Times New Roman" w:hAnsi="Times New Roman" w:cs="Times New Roman"/>
                <w:sz w:val="20"/>
                <w:szCs w:val="20"/>
              </w:rPr>
              <w:t>ая</w:t>
            </w:r>
            <w:r w:rsidR="00BE0446" w:rsidRPr="00BE0446">
              <w:rPr>
                <w:rFonts w:ascii="Times New Roman" w:hAnsi="Times New Roman" w:cs="Times New Roman"/>
                <w:sz w:val="20"/>
                <w:szCs w:val="20"/>
              </w:rPr>
              <w:t xml:space="preserve"> информаци</w:t>
            </w:r>
            <w:r w:rsidR="00BE0446">
              <w:rPr>
                <w:rFonts w:ascii="Times New Roman" w:hAnsi="Times New Roman" w:cs="Times New Roman"/>
                <w:sz w:val="20"/>
                <w:szCs w:val="20"/>
              </w:rPr>
              <w:t>я</w:t>
            </w:r>
            <w:r w:rsidR="00BE0446" w:rsidRPr="00BE0446">
              <w:rPr>
                <w:rFonts w:ascii="Times New Roman" w:hAnsi="Times New Roman" w:cs="Times New Roman"/>
                <w:sz w:val="20"/>
                <w:szCs w:val="20"/>
              </w:rPr>
              <w:t xml:space="preserve"> о выполнении постановления </w:t>
            </w:r>
            <w:r w:rsidRPr="0073477B">
              <w:rPr>
                <w:rFonts w:ascii="Times New Roman" w:hAnsi="Times New Roman" w:cs="Times New Roman"/>
                <w:sz w:val="20"/>
                <w:szCs w:val="20"/>
              </w:rPr>
              <w:t>от 27 декабря 2019 года</w:t>
            </w:r>
            <w:r>
              <w:rPr>
                <w:rFonts w:ascii="Times New Roman" w:hAnsi="Times New Roman" w:cs="Times New Roman"/>
                <w:sz w:val="20"/>
                <w:szCs w:val="20"/>
              </w:rPr>
              <w:t xml:space="preserve"> </w:t>
            </w:r>
            <w:r w:rsidRPr="0073477B">
              <w:rPr>
                <w:rFonts w:ascii="Times New Roman" w:hAnsi="Times New Roman" w:cs="Times New Roman"/>
                <w:sz w:val="20"/>
                <w:szCs w:val="20"/>
              </w:rPr>
              <w:t>№ 531-п «О мерах по реализации Закона Ханты-Мансийского автономного округа - Югры «О бюджете Ханты-Мансийского автономного округа - Югры на 2020 год и на плановый период 2021 и 2022 годов» за 2020 год</w:t>
            </w:r>
            <w:r>
              <w:rPr>
                <w:rFonts w:ascii="Times New Roman" w:hAnsi="Times New Roman" w:cs="Times New Roman"/>
                <w:sz w:val="20"/>
                <w:szCs w:val="20"/>
              </w:rPr>
              <w:t xml:space="preserve"> подготовлена Департаментом финансов автономного округа и представлена </w:t>
            </w:r>
            <w:r w:rsidR="00BE0446" w:rsidRPr="00BE0446">
              <w:rPr>
                <w:rFonts w:ascii="Times New Roman" w:hAnsi="Times New Roman" w:cs="Times New Roman"/>
                <w:sz w:val="20"/>
                <w:szCs w:val="20"/>
              </w:rPr>
              <w:t xml:space="preserve">в составе документов и материалов к годовому отчету об исполнении бюджета автономного округа за </w:t>
            </w:r>
            <w:r>
              <w:rPr>
                <w:rFonts w:ascii="Times New Roman" w:hAnsi="Times New Roman" w:cs="Times New Roman"/>
                <w:sz w:val="20"/>
                <w:szCs w:val="20"/>
              </w:rPr>
              <w:t>отчетный год.</w:t>
            </w:r>
          </w:p>
        </w:tc>
      </w:tr>
    </w:tbl>
    <w:p w:rsidR="001D0F88" w:rsidRPr="001D0F88" w:rsidRDefault="001D0F88" w:rsidP="00400CD2">
      <w:pPr>
        <w:spacing w:after="0"/>
        <w:rPr>
          <w:rFonts w:ascii="Times New Roman" w:hAnsi="Times New Roman" w:cs="Times New Roman"/>
          <w:b/>
          <w:sz w:val="28"/>
          <w:szCs w:val="28"/>
        </w:rPr>
      </w:pPr>
    </w:p>
    <w:sectPr w:rsidR="001D0F88" w:rsidRPr="001D0F88" w:rsidSect="00484713">
      <w:footerReference w:type="default" r:id="rId8"/>
      <w:pgSz w:w="16838" w:h="11906" w:orient="landscape"/>
      <w:pgMar w:top="1418" w:right="851" w:bottom="567" w:left="851" w:header="709" w:footer="709" w:gutter="0"/>
      <w:pgNumType w:start="17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832" w:rsidRDefault="00402832" w:rsidP="00075427">
      <w:pPr>
        <w:spacing w:after="0" w:line="240" w:lineRule="auto"/>
      </w:pPr>
      <w:r>
        <w:separator/>
      </w:r>
    </w:p>
  </w:endnote>
  <w:endnote w:type="continuationSeparator" w:id="0">
    <w:p w:rsidR="00402832" w:rsidRDefault="00402832" w:rsidP="0007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502003"/>
      <w:docPartObj>
        <w:docPartGallery w:val="Page Numbers (Bottom of Page)"/>
        <w:docPartUnique/>
      </w:docPartObj>
    </w:sdtPr>
    <w:sdtEndPr/>
    <w:sdtContent>
      <w:p w:rsidR="004865FB" w:rsidRDefault="004865FB">
        <w:pPr>
          <w:pStyle w:val="af0"/>
          <w:jc w:val="right"/>
        </w:pPr>
        <w:r>
          <w:fldChar w:fldCharType="begin"/>
        </w:r>
        <w:r>
          <w:instrText>PAGE   \* MERGEFORMAT</w:instrText>
        </w:r>
        <w:r>
          <w:fldChar w:fldCharType="separate"/>
        </w:r>
        <w:r w:rsidR="00DC2B2E">
          <w:rPr>
            <w:noProof/>
          </w:rPr>
          <w:t>1771</w:t>
        </w:r>
        <w:r>
          <w:fldChar w:fldCharType="end"/>
        </w:r>
      </w:p>
    </w:sdtContent>
  </w:sdt>
  <w:p w:rsidR="004865FB" w:rsidRDefault="004865FB" w:rsidP="008660B4">
    <w:pPr>
      <w:pStyle w:val="af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832" w:rsidRDefault="00402832" w:rsidP="00075427">
      <w:pPr>
        <w:spacing w:after="0" w:line="240" w:lineRule="auto"/>
      </w:pPr>
      <w:r>
        <w:separator/>
      </w:r>
    </w:p>
  </w:footnote>
  <w:footnote w:type="continuationSeparator" w:id="0">
    <w:p w:rsidR="00402832" w:rsidRDefault="00402832" w:rsidP="000754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D1411"/>
    <w:multiLevelType w:val="hybridMultilevel"/>
    <w:tmpl w:val="A0B4AC26"/>
    <w:lvl w:ilvl="0" w:tplc="74A0C0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F88"/>
    <w:rsid w:val="00001DAA"/>
    <w:rsid w:val="000048BE"/>
    <w:rsid w:val="00004CE5"/>
    <w:rsid w:val="000101CD"/>
    <w:rsid w:val="0002636B"/>
    <w:rsid w:val="000322E0"/>
    <w:rsid w:val="00032560"/>
    <w:rsid w:val="0003295C"/>
    <w:rsid w:val="00032D0D"/>
    <w:rsid w:val="0003659B"/>
    <w:rsid w:val="000405FE"/>
    <w:rsid w:val="00045925"/>
    <w:rsid w:val="00045C12"/>
    <w:rsid w:val="00046185"/>
    <w:rsid w:val="00046CE8"/>
    <w:rsid w:val="00047C87"/>
    <w:rsid w:val="00047D23"/>
    <w:rsid w:val="000525D2"/>
    <w:rsid w:val="000549DB"/>
    <w:rsid w:val="00065123"/>
    <w:rsid w:val="000659F9"/>
    <w:rsid w:val="0006764F"/>
    <w:rsid w:val="000732E0"/>
    <w:rsid w:val="00075427"/>
    <w:rsid w:val="00082D84"/>
    <w:rsid w:val="00086E3A"/>
    <w:rsid w:val="00090973"/>
    <w:rsid w:val="00094258"/>
    <w:rsid w:val="00096F2B"/>
    <w:rsid w:val="000A3C9A"/>
    <w:rsid w:val="000A4208"/>
    <w:rsid w:val="000A4633"/>
    <w:rsid w:val="000A6260"/>
    <w:rsid w:val="000A7494"/>
    <w:rsid w:val="000B2D98"/>
    <w:rsid w:val="000C5029"/>
    <w:rsid w:val="000C5896"/>
    <w:rsid w:val="000D0827"/>
    <w:rsid w:val="000D10D5"/>
    <w:rsid w:val="000D26F8"/>
    <w:rsid w:val="000D5528"/>
    <w:rsid w:val="000E095B"/>
    <w:rsid w:val="000E1F87"/>
    <w:rsid w:val="000E301B"/>
    <w:rsid w:val="000E72C8"/>
    <w:rsid w:val="000F3630"/>
    <w:rsid w:val="001014D4"/>
    <w:rsid w:val="001139A0"/>
    <w:rsid w:val="00115B89"/>
    <w:rsid w:val="0012029A"/>
    <w:rsid w:val="001220E6"/>
    <w:rsid w:val="001248CB"/>
    <w:rsid w:val="0012623D"/>
    <w:rsid w:val="00126E53"/>
    <w:rsid w:val="0013193B"/>
    <w:rsid w:val="00131B8C"/>
    <w:rsid w:val="00132365"/>
    <w:rsid w:val="001347D2"/>
    <w:rsid w:val="00141544"/>
    <w:rsid w:val="00152406"/>
    <w:rsid w:val="001540C0"/>
    <w:rsid w:val="001622E7"/>
    <w:rsid w:val="00167541"/>
    <w:rsid w:val="0017283A"/>
    <w:rsid w:val="0017333B"/>
    <w:rsid w:val="0017489E"/>
    <w:rsid w:val="00176B26"/>
    <w:rsid w:val="001779BA"/>
    <w:rsid w:val="00191B40"/>
    <w:rsid w:val="00193282"/>
    <w:rsid w:val="00196E9A"/>
    <w:rsid w:val="001A53F7"/>
    <w:rsid w:val="001A5924"/>
    <w:rsid w:val="001B29B3"/>
    <w:rsid w:val="001C4722"/>
    <w:rsid w:val="001D0F88"/>
    <w:rsid w:val="001D5A79"/>
    <w:rsid w:val="001D6EDB"/>
    <w:rsid w:val="001F6FD1"/>
    <w:rsid w:val="00201E9D"/>
    <w:rsid w:val="00203A1C"/>
    <w:rsid w:val="00203AB3"/>
    <w:rsid w:val="00204E37"/>
    <w:rsid w:val="00207009"/>
    <w:rsid w:val="00210CD8"/>
    <w:rsid w:val="00211B0B"/>
    <w:rsid w:val="00216ACD"/>
    <w:rsid w:val="0021784C"/>
    <w:rsid w:val="00225B86"/>
    <w:rsid w:val="0022628C"/>
    <w:rsid w:val="00230DE4"/>
    <w:rsid w:val="00233229"/>
    <w:rsid w:val="00234C1C"/>
    <w:rsid w:val="002430B4"/>
    <w:rsid w:val="00251A97"/>
    <w:rsid w:val="002529D5"/>
    <w:rsid w:val="00254B5B"/>
    <w:rsid w:val="00255150"/>
    <w:rsid w:val="0026534E"/>
    <w:rsid w:val="00271BCF"/>
    <w:rsid w:val="002728E8"/>
    <w:rsid w:val="00274704"/>
    <w:rsid w:val="00277E0F"/>
    <w:rsid w:val="002875FE"/>
    <w:rsid w:val="002876D3"/>
    <w:rsid w:val="00292032"/>
    <w:rsid w:val="00295DF3"/>
    <w:rsid w:val="002A1EF2"/>
    <w:rsid w:val="002B57CB"/>
    <w:rsid w:val="002C176E"/>
    <w:rsid w:val="002C1E5D"/>
    <w:rsid w:val="002C1FEC"/>
    <w:rsid w:val="002C363E"/>
    <w:rsid w:val="002D3165"/>
    <w:rsid w:val="002D409D"/>
    <w:rsid w:val="002D66BA"/>
    <w:rsid w:val="002E236A"/>
    <w:rsid w:val="002E584D"/>
    <w:rsid w:val="002F1CB8"/>
    <w:rsid w:val="002F436B"/>
    <w:rsid w:val="002F5833"/>
    <w:rsid w:val="00300F9E"/>
    <w:rsid w:val="0030448F"/>
    <w:rsid w:val="0031014C"/>
    <w:rsid w:val="003111DC"/>
    <w:rsid w:val="0031210D"/>
    <w:rsid w:val="00315F1E"/>
    <w:rsid w:val="00326B7F"/>
    <w:rsid w:val="00334A2F"/>
    <w:rsid w:val="00335058"/>
    <w:rsid w:val="00337175"/>
    <w:rsid w:val="00343604"/>
    <w:rsid w:val="00343F74"/>
    <w:rsid w:val="00345B1F"/>
    <w:rsid w:val="003519F2"/>
    <w:rsid w:val="00356494"/>
    <w:rsid w:val="00361F52"/>
    <w:rsid w:val="00365615"/>
    <w:rsid w:val="0037661A"/>
    <w:rsid w:val="00376AEE"/>
    <w:rsid w:val="00377383"/>
    <w:rsid w:val="003960AD"/>
    <w:rsid w:val="003A470E"/>
    <w:rsid w:val="003B12CE"/>
    <w:rsid w:val="003C2C8C"/>
    <w:rsid w:val="003C5B6B"/>
    <w:rsid w:val="003C6468"/>
    <w:rsid w:val="003D1104"/>
    <w:rsid w:val="003D1F50"/>
    <w:rsid w:val="003D2161"/>
    <w:rsid w:val="003D70F0"/>
    <w:rsid w:val="003E19A8"/>
    <w:rsid w:val="003E4C57"/>
    <w:rsid w:val="003E50CB"/>
    <w:rsid w:val="003F2B0A"/>
    <w:rsid w:val="00400A92"/>
    <w:rsid w:val="00400CD2"/>
    <w:rsid w:val="00402832"/>
    <w:rsid w:val="00403256"/>
    <w:rsid w:val="00406E3A"/>
    <w:rsid w:val="00407EE0"/>
    <w:rsid w:val="004131D0"/>
    <w:rsid w:val="0042446D"/>
    <w:rsid w:val="00430445"/>
    <w:rsid w:val="00431B23"/>
    <w:rsid w:val="004321D5"/>
    <w:rsid w:val="004375BF"/>
    <w:rsid w:val="00437F90"/>
    <w:rsid w:val="00440705"/>
    <w:rsid w:val="00441791"/>
    <w:rsid w:val="004432F6"/>
    <w:rsid w:val="00447709"/>
    <w:rsid w:val="00453A3E"/>
    <w:rsid w:val="00453C73"/>
    <w:rsid w:val="004567E9"/>
    <w:rsid w:val="00464E6B"/>
    <w:rsid w:val="0047046F"/>
    <w:rsid w:val="00471699"/>
    <w:rsid w:val="00471757"/>
    <w:rsid w:val="0047582D"/>
    <w:rsid w:val="00484713"/>
    <w:rsid w:val="004865FB"/>
    <w:rsid w:val="00486D07"/>
    <w:rsid w:val="004956C1"/>
    <w:rsid w:val="00497BD3"/>
    <w:rsid w:val="004A4DE8"/>
    <w:rsid w:val="004A5DE8"/>
    <w:rsid w:val="004A5FAB"/>
    <w:rsid w:val="004B7A23"/>
    <w:rsid w:val="004D79CC"/>
    <w:rsid w:val="004E0303"/>
    <w:rsid w:val="004E3009"/>
    <w:rsid w:val="004F0EA2"/>
    <w:rsid w:val="004F6F95"/>
    <w:rsid w:val="0051132C"/>
    <w:rsid w:val="0051666E"/>
    <w:rsid w:val="00525E18"/>
    <w:rsid w:val="00530EE2"/>
    <w:rsid w:val="005313F7"/>
    <w:rsid w:val="00541988"/>
    <w:rsid w:val="00544394"/>
    <w:rsid w:val="0055564D"/>
    <w:rsid w:val="00555DF9"/>
    <w:rsid w:val="00562DA7"/>
    <w:rsid w:val="00565EEB"/>
    <w:rsid w:val="00574839"/>
    <w:rsid w:val="00577FCE"/>
    <w:rsid w:val="0058075D"/>
    <w:rsid w:val="00581B0A"/>
    <w:rsid w:val="00585226"/>
    <w:rsid w:val="005931BC"/>
    <w:rsid w:val="00593A17"/>
    <w:rsid w:val="005A1106"/>
    <w:rsid w:val="005A18DE"/>
    <w:rsid w:val="005A6481"/>
    <w:rsid w:val="005A6897"/>
    <w:rsid w:val="005B0455"/>
    <w:rsid w:val="005B3CBD"/>
    <w:rsid w:val="005B49F1"/>
    <w:rsid w:val="005B5F83"/>
    <w:rsid w:val="005C5B40"/>
    <w:rsid w:val="005C5FDA"/>
    <w:rsid w:val="005C62B6"/>
    <w:rsid w:val="005D3474"/>
    <w:rsid w:val="005D63FD"/>
    <w:rsid w:val="005D6DC0"/>
    <w:rsid w:val="005E1469"/>
    <w:rsid w:val="005E4908"/>
    <w:rsid w:val="005E5162"/>
    <w:rsid w:val="005F28E0"/>
    <w:rsid w:val="00606F8E"/>
    <w:rsid w:val="00614B8E"/>
    <w:rsid w:val="00622BC9"/>
    <w:rsid w:val="006365A7"/>
    <w:rsid w:val="00641263"/>
    <w:rsid w:val="00650D24"/>
    <w:rsid w:val="00650F27"/>
    <w:rsid w:val="00652770"/>
    <w:rsid w:val="0065437B"/>
    <w:rsid w:val="00657B9E"/>
    <w:rsid w:val="00666076"/>
    <w:rsid w:val="006719AB"/>
    <w:rsid w:val="00682364"/>
    <w:rsid w:val="00683338"/>
    <w:rsid w:val="00695273"/>
    <w:rsid w:val="006964D7"/>
    <w:rsid w:val="006978E8"/>
    <w:rsid w:val="006A44F8"/>
    <w:rsid w:val="006A6044"/>
    <w:rsid w:val="006B54CA"/>
    <w:rsid w:val="006B7281"/>
    <w:rsid w:val="006B7C36"/>
    <w:rsid w:val="006C360F"/>
    <w:rsid w:val="006C4017"/>
    <w:rsid w:val="006C4E54"/>
    <w:rsid w:val="006D5D2D"/>
    <w:rsid w:val="006D64C3"/>
    <w:rsid w:val="006E181B"/>
    <w:rsid w:val="006E5EB3"/>
    <w:rsid w:val="006F00F9"/>
    <w:rsid w:val="006F0FF1"/>
    <w:rsid w:val="006F2CC8"/>
    <w:rsid w:val="006F67EA"/>
    <w:rsid w:val="006F77DA"/>
    <w:rsid w:val="00702EB0"/>
    <w:rsid w:val="007039C8"/>
    <w:rsid w:val="0070665C"/>
    <w:rsid w:val="00714219"/>
    <w:rsid w:val="00714C07"/>
    <w:rsid w:val="00720421"/>
    <w:rsid w:val="007211D5"/>
    <w:rsid w:val="00723C38"/>
    <w:rsid w:val="0072428D"/>
    <w:rsid w:val="0073477B"/>
    <w:rsid w:val="00736F49"/>
    <w:rsid w:val="0073726A"/>
    <w:rsid w:val="00743758"/>
    <w:rsid w:val="0074434F"/>
    <w:rsid w:val="00747529"/>
    <w:rsid w:val="00756AAC"/>
    <w:rsid w:val="00761080"/>
    <w:rsid w:val="00770DD5"/>
    <w:rsid w:val="00773008"/>
    <w:rsid w:val="00775254"/>
    <w:rsid w:val="00782599"/>
    <w:rsid w:val="007853FF"/>
    <w:rsid w:val="00790C09"/>
    <w:rsid w:val="00790C6E"/>
    <w:rsid w:val="007932AE"/>
    <w:rsid w:val="007B5C54"/>
    <w:rsid w:val="007B69E2"/>
    <w:rsid w:val="007B6FC7"/>
    <w:rsid w:val="007D2FA3"/>
    <w:rsid w:val="007D3D2A"/>
    <w:rsid w:val="007D518B"/>
    <w:rsid w:val="007E44BE"/>
    <w:rsid w:val="007E4977"/>
    <w:rsid w:val="007F3D11"/>
    <w:rsid w:val="007F47C6"/>
    <w:rsid w:val="007F51B8"/>
    <w:rsid w:val="007F6A2E"/>
    <w:rsid w:val="0080215D"/>
    <w:rsid w:val="00806D43"/>
    <w:rsid w:val="00811D17"/>
    <w:rsid w:val="00812902"/>
    <w:rsid w:val="00823CF4"/>
    <w:rsid w:val="00824B45"/>
    <w:rsid w:val="00831C9A"/>
    <w:rsid w:val="008439A5"/>
    <w:rsid w:val="00844B67"/>
    <w:rsid w:val="0084634A"/>
    <w:rsid w:val="00855A99"/>
    <w:rsid w:val="00856B49"/>
    <w:rsid w:val="008660B4"/>
    <w:rsid w:val="00871760"/>
    <w:rsid w:val="00873C48"/>
    <w:rsid w:val="008801E7"/>
    <w:rsid w:val="00884186"/>
    <w:rsid w:val="008872A7"/>
    <w:rsid w:val="00887F91"/>
    <w:rsid w:val="00892C3C"/>
    <w:rsid w:val="008A194B"/>
    <w:rsid w:val="008A6DFF"/>
    <w:rsid w:val="008B18FA"/>
    <w:rsid w:val="008B24C9"/>
    <w:rsid w:val="008C15BC"/>
    <w:rsid w:val="008C6106"/>
    <w:rsid w:val="008D287D"/>
    <w:rsid w:val="008D5CA3"/>
    <w:rsid w:val="008D7E30"/>
    <w:rsid w:val="008E2D04"/>
    <w:rsid w:val="009057D9"/>
    <w:rsid w:val="00910E1E"/>
    <w:rsid w:val="00913316"/>
    <w:rsid w:val="00920A0F"/>
    <w:rsid w:val="00924767"/>
    <w:rsid w:val="0093202D"/>
    <w:rsid w:val="00945763"/>
    <w:rsid w:val="0094725B"/>
    <w:rsid w:val="00952656"/>
    <w:rsid w:val="00953516"/>
    <w:rsid w:val="009560F6"/>
    <w:rsid w:val="00956CCD"/>
    <w:rsid w:val="009604C0"/>
    <w:rsid w:val="009619B2"/>
    <w:rsid w:val="009638DE"/>
    <w:rsid w:val="00971B87"/>
    <w:rsid w:val="009840A8"/>
    <w:rsid w:val="009858D0"/>
    <w:rsid w:val="00986B8B"/>
    <w:rsid w:val="009A0E04"/>
    <w:rsid w:val="009B5C6B"/>
    <w:rsid w:val="009B6C8F"/>
    <w:rsid w:val="009B70A1"/>
    <w:rsid w:val="009B771C"/>
    <w:rsid w:val="009B7804"/>
    <w:rsid w:val="009C1AB8"/>
    <w:rsid w:val="009C203F"/>
    <w:rsid w:val="009C2747"/>
    <w:rsid w:val="009C633F"/>
    <w:rsid w:val="009C7EE1"/>
    <w:rsid w:val="009D00D9"/>
    <w:rsid w:val="009D2245"/>
    <w:rsid w:val="009D3156"/>
    <w:rsid w:val="009E458C"/>
    <w:rsid w:val="009F1D2D"/>
    <w:rsid w:val="009F62C2"/>
    <w:rsid w:val="00A00E2B"/>
    <w:rsid w:val="00A07AC9"/>
    <w:rsid w:val="00A119CA"/>
    <w:rsid w:val="00A14021"/>
    <w:rsid w:val="00A15CC5"/>
    <w:rsid w:val="00A16BE3"/>
    <w:rsid w:val="00A17759"/>
    <w:rsid w:val="00A219C1"/>
    <w:rsid w:val="00A2245B"/>
    <w:rsid w:val="00A25619"/>
    <w:rsid w:val="00A26B2C"/>
    <w:rsid w:val="00A27201"/>
    <w:rsid w:val="00A3048C"/>
    <w:rsid w:val="00A35E3D"/>
    <w:rsid w:val="00A4080B"/>
    <w:rsid w:val="00A44955"/>
    <w:rsid w:val="00A460BF"/>
    <w:rsid w:val="00A509CF"/>
    <w:rsid w:val="00A63E32"/>
    <w:rsid w:val="00A65A86"/>
    <w:rsid w:val="00A727A7"/>
    <w:rsid w:val="00A9061D"/>
    <w:rsid w:val="00A90BD7"/>
    <w:rsid w:val="00A965EA"/>
    <w:rsid w:val="00AA2E1A"/>
    <w:rsid w:val="00AB348B"/>
    <w:rsid w:val="00AB416A"/>
    <w:rsid w:val="00AB5DC9"/>
    <w:rsid w:val="00AB6FE0"/>
    <w:rsid w:val="00AC36BA"/>
    <w:rsid w:val="00AC7A4E"/>
    <w:rsid w:val="00AD20D8"/>
    <w:rsid w:val="00AD2B00"/>
    <w:rsid w:val="00AD5B71"/>
    <w:rsid w:val="00AE63EC"/>
    <w:rsid w:val="00AF3DFC"/>
    <w:rsid w:val="00B07711"/>
    <w:rsid w:val="00B108B7"/>
    <w:rsid w:val="00B16809"/>
    <w:rsid w:val="00B1725B"/>
    <w:rsid w:val="00B2086C"/>
    <w:rsid w:val="00B21482"/>
    <w:rsid w:val="00B249C7"/>
    <w:rsid w:val="00B25333"/>
    <w:rsid w:val="00B338F6"/>
    <w:rsid w:val="00B33B8C"/>
    <w:rsid w:val="00B35667"/>
    <w:rsid w:val="00B37F94"/>
    <w:rsid w:val="00B5284C"/>
    <w:rsid w:val="00B52C59"/>
    <w:rsid w:val="00B52DE1"/>
    <w:rsid w:val="00B53D86"/>
    <w:rsid w:val="00B54586"/>
    <w:rsid w:val="00B54A14"/>
    <w:rsid w:val="00B5680E"/>
    <w:rsid w:val="00B60F40"/>
    <w:rsid w:val="00B6595E"/>
    <w:rsid w:val="00B669E0"/>
    <w:rsid w:val="00B70CEE"/>
    <w:rsid w:val="00B71805"/>
    <w:rsid w:val="00B77A8A"/>
    <w:rsid w:val="00B81C5F"/>
    <w:rsid w:val="00B81F15"/>
    <w:rsid w:val="00B836AE"/>
    <w:rsid w:val="00B86C16"/>
    <w:rsid w:val="00B8747F"/>
    <w:rsid w:val="00B94A3E"/>
    <w:rsid w:val="00B95AC4"/>
    <w:rsid w:val="00B95BEF"/>
    <w:rsid w:val="00BA088E"/>
    <w:rsid w:val="00BA2321"/>
    <w:rsid w:val="00BA2DCF"/>
    <w:rsid w:val="00BA4F9B"/>
    <w:rsid w:val="00BB0D6B"/>
    <w:rsid w:val="00BB1246"/>
    <w:rsid w:val="00BC616F"/>
    <w:rsid w:val="00BD5A17"/>
    <w:rsid w:val="00BD63B0"/>
    <w:rsid w:val="00BE0446"/>
    <w:rsid w:val="00C042C0"/>
    <w:rsid w:val="00C06DEA"/>
    <w:rsid w:val="00C124AA"/>
    <w:rsid w:val="00C17E81"/>
    <w:rsid w:val="00C20A72"/>
    <w:rsid w:val="00C22120"/>
    <w:rsid w:val="00C31DEE"/>
    <w:rsid w:val="00C3729B"/>
    <w:rsid w:val="00C40622"/>
    <w:rsid w:val="00C40E32"/>
    <w:rsid w:val="00C469E7"/>
    <w:rsid w:val="00C52742"/>
    <w:rsid w:val="00C536B0"/>
    <w:rsid w:val="00C5685C"/>
    <w:rsid w:val="00C57B4B"/>
    <w:rsid w:val="00C6080D"/>
    <w:rsid w:val="00C61434"/>
    <w:rsid w:val="00C62E45"/>
    <w:rsid w:val="00C65DF1"/>
    <w:rsid w:val="00C706FA"/>
    <w:rsid w:val="00C73846"/>
    <w:rsid w:val="00C7681C"/>
    <w:rsid w:val="00C77BDD"/>
    <w:rsid w:val="00C804CD"/>
    <w:rsid w:val="00C86CF8"/>
    <w:rsid w:val="00C876BD"/>
    <w:rsid w:val="00C904AF"/>
    <w:rsid w:val="00C92291"/>
    <w:rsid w:val="00C94527"/>
    <w:rsid w:val="00C9496F"/>
    <w:rsid w:val="00C961E3"/>
    <w:rsid w:val="00CA33A1"/>
    <w:rsid w:val="00CA38B1"/>
    <w:rsid w:val="00CA3C8D"/>
    <w:rsid w:val="00CB4780"/>
    <w:rsid w:val="00CB6DF0"/>
    <w:rsid w:val="00CB78D3"/>
    <w:rsid w:val="00CC131C"/>
    <w:rsid w:val="00CD0338"/>
    <w:rsid w:val="00CD3929"/>
    <w:rsid w:val="00CD612B"/>
    <w:rsid w:val="00CE7A7E"/>
    <w:rsid w:val="00CF4B06"/>
    <w:rsid w:val="00CF678C"/>
    <w:rsid w:val="00D024E8"/>
    <w:rsid w:val="00D027A8"/>
    <w:rsid w:val="00D140B9"/>
    <w:rsid w:val="00D218D4"/>
    <w:rsid w:val="00D244FA"/>
    <w:rsid w:val="00D246B7"/>
    <w:rsid w:val="00D27305"/>
    <w:rsid w:val="00D27891"/>
    <w:rsid w:val="00D27C01"/>
    <w:rsid w:val="00D32A87"/>
    <w:rsid w:val="00D36631"/>
    <w:rsid w:val="00D37279"/>
    <w:rsid w:val="00D44BC0"/>
    <w:rsid w:val="00D44DAB"/>
    <w:rsid w:val="00D45DB6"/>
    <w:rsid w:val="00D51AC7"/>
    <w:rsid w:val="00D52B1F"/>
    <w:rsid w:val="00D5510E"/>
    <w:rsid w:val="00D604D3"/>
    <w:rsid w:val="00D60F48"/>
    <w:rsid w:val="00D61B32"/>
    <w:rsid w:val="00D61D70"/>
    <w:rsid w:val="00D66CB0"/>
    <w:rsid w:val="00D67FF5"/>
    <w:rsid w:val="00D82009"/>
    <w:rsid w:val="00D829D1"/>
    <w:rsid w:val="00D91125"/>
    <w:rsid w:val="00D92B91"/>
    <w:rsid w:val="00D9425B"/>
    <w:rsid w:val="00D955F9"/>
    <w:rsid w:val="00DA2FCD"/>
    <w:rsid w:val="00DA5340"/>
    <w:rsid w:val="00DA645E"/>
    <w:rsid w:val="00DB3B6E"/>
    <w:rsid w:val="00DB57D2"/>
    <w:rsid w:val="00DB5F95"/>
    <w:rsid w:val="00DB7CEC"/>
    <w:rsid w:val="00DB7D7B"/>
    <w:rsid w:val="00DC2B2E"/>
    <w:rsid w:val="00DC3284"/>
    <w:rsid w:val="00DD0EB8"/>
    <w:rsid w:val="00DD2EA9"/>
    <w:rsid w:val="00DE2412"/>
    <w:rsid w:val="00DE5ED4"/>
    <w:rsid w:val="00E01506"/>
    <w:rsid w:val="00E045F8"/>
    <w:rsid w:val="00E056E5"/>
    <w:rsid w:val="00E17307"/>
    <w:rsid w:val="00E205B4"/>
    <w:rsid w:val="00E27D1B"/>
    <w:rsid w:val="00E372DE"/>
    <w:rsid w:val="00E60114"/>
    <w:rsid w:val="00E63301"/>
    <w:rsid w:val="00E70FBC"/>
    <w:rsid w:val="00E71358"/>
    <w:rsid w:val="00E760BA"/>
    <w:rsid w:val="00E77372"/>
    <w:rsid w:val="00E82A58"/>
    <w:rsid w:val="00E9543D"/>
    <w:rsid w:val="00EA4965"/>
    <w:rsid w:val="00EB0564"/>
    <w:rsid w:val="00EB60D4"/>
    <w:rsid w:val="00EC517B"/>
    <w:rsid w:val="00ED43EA"/>
    <w:rsid w:val="00ED53B2"/>
    <w:rsid w:val="00ED5ABC"/>
    <w:rsid w:val="00EE5DD2"/>
    <w:rsid w:val="00EE7493"/>
    <w:rsid w:val="00EF2CAC"/>
    <w:rsid w:val="00EF3C7F"/>
    <w:rsid w:val="00F0254F"/>
    <w:rsid w:val="00F02910"/>
    <w:rsid w:val="00F11795"/>
    <w:rsid w:val="00F128DE"/>
    <w:rsid w:val="00F12E44"/>
    <w:rsid w:val="00F14A57"/>
    <w:rsid w:val="00F17A72"/>
    <w:rsid w:val="00F200C5"/>
    <w:rsid w:val="00F254F7"/>
    <w:rsid w:val="00F27171"/>
    <w:rsid w:val="00F27BC9"/>
    <w:rsid w:val="00F316C7"/>
    <w:rsid w:val="00F328F7"/>
    <w:rsid w:val="00F41BFE"/>
    <w:rsid w:val="00F515D0"/>
    <w:rsid w:val="00F51A9A"/>
    <w:rsid w:val="00F660BE"/>
    <w:rsid w:val="00F66721"/>
    <w:rsid w:val="00F74B64"/>
    <w:rsid w:val="00F81E32"/>
    <w:rsid w:val="00F86304"/>
    <w:rsid w:val="00F90F24"/>
    <w:rsid w:val="00F95B26"/>
    <w:rsid w:val="00FA3B13"/>
    <w:rsid w:val="00FB1143"/>
    <w:rsid w:val="00FB347E"/>
    <w:rsid w:val="00FB3A43"/>
    <w:rsid w:val="00FB6519"/>
    <w:rsid w:val="00FC77AB"/>
    <w:rsid w:val="00FD1DAF"/>
    <w:rsid w:val="00FD3A1F"/>
    <w:rsid w:val="00FE0169"/>
    <w:rsid w:val="00FE0903"/>
    <w:rsid w:val="00FE28F7"/>
    <w:rsid w:val="00FE2AA1"/>
    <w:rsid w:val="00FE48BD"/>
    <w:rsid w:val="00FE711F"/>
    <w:rsid w:val="00FE73E6"/>
    <w:rsid w:val="00FF3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F0770E-99E3-4974-AEEF-2F4458744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0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F28E0"/>
    <w:pPr>
      <w:autoSpaceDE w:val="0"/>
      <w:autoSpaceDN w:val="0"/>
      <w:adjustRightInd w:val="0"/>
      <w:spacing w:after="0" w:line="240" w:lineRule="auto"/>
    </w:pPr>
    <w:rPr>
      <w:rFonts w:ascii="Times New Roman" w:hAnsi="Times New Roman" w:cs="Times New Roman"/>
      <w:sz w:val="20"/>
      <w:szCs w:val="20"/>
    </w:rPr>
  </w:style>
  <w:style w:type="character" w:styleId="a4">
    <w:name w:val="annotation reference"/>
    <w:basedOn w:val="a0"/>
    <w:uiPriority w:val="99"/>
    <w:semiHidden/>
    <w:unhideWhenUsed/>
    <w:rsid w:val="00AD5B71"/>
    <w:rPr>
      <w:sz w:val="16"/>
      <w:szCs w:val="16"/>
    </w:rPr>
  </w:style>
  <w:style w:type="paragraph" w:styleId="a5">
    <w:name w:val="annotation text"/>
    <w:basedOn w:val="a"/>
    <w:link w:val="a6"/>
    <w:uiPriority w:val="99"/>
    <w:semiHidden/>
    <w:unhideWhenUsed/>
    <w:rsid w:val="00AD5B71"/>
    <w:pPr>
      <w:spacing w:line="240" w:lineRule="auto"/>
    </w:pPr>
    <w:rPr>
      <w:sz w:val="20"/>
      <w:szCs w:val="20"/>
    </w:rPr>
  </w:style>
  <w:style w:type="character" w:customStyle="1" w:styleId="a6">
    <w:name w:val="Текст примечания Знак"/>
    <w:basedOn w:val="a0"/>
    <w:link w:val="a5"/>
    <w:uiPriority w:val="99"/>
    <w:semiHidden/>
    <w:rsid w:val="00AD5B71"/>
    <w:rPr>
      <w:sz w:val="20"/>
      <w:szCs w:val="20"/>
    </w:rPr>
  </w:style>
  <w:style w:type="paragraph" w:styleId="a7">
    <w:name w:val="annotation subject"/>
    <w:basedOn w:val="a5"/>
    <w:next w:val="a5"/>
    <w:link w:val="a8"/>
    <w:uiPriority w:val="99"/>
    <w:semiHidden/>
    <w:unhideWhenUsed/>
    <w:rsid w:val="00AD5B71"/>
    <w:rPr>
      <w:b/>
      <w:bCs/>
    </w:rPr>
  </w:style>
  <w:style w:type="character" w:customStyle="1" w:styleId="a8">
    <w:name w:val="Тема примечания Знак"/>
    <w:basedOn w:val="a6"/>
    <w:link w:val="a7"/>
    <w:uiPriority w:val="99"/>
    <w:semiHidden/>
    <w:rsid w:val="00AD5B71"/>
    <w:rPr>
      <w:b/>
      <w:bCs/>
      <w:sz w:val="20"/>
      <w:szCs w:val="20"/>
    </w:rPr>
  </w:style>
  <w:style w:type="paragraph" w:styleId="a9">
    <w:name w:val="Balloon Text"/>
    <w:basedOn w:val="a"/>
    <w:link w:val="aa"/>
    <w:uiPriority w:val="99"/>
    <w:semiHidden/>
    <w:unhideWhenUsed/>
    <w:rsid w:val="00AD5B7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D5B71"/>
    <w:rPr>
      <w:rFonts w:ascii="Segoe UI" w:hAnsi="Segoe UI" w:cs="Segoe UI"/>
      <w:sz w:val="18"/>
      <w:szCs w:val="18"/>
    </w:rPr>
  </w:style>
  <w:style w:type="paragraph" w:customStyle="1" w:styleId="1">
    <w:name w:val="Обычный1"/>
    <w:basedOn w:val="a"/>
    <w:rsid w:val="0058075D"/>
    <w:pPr>
      <w:spacing w:after="0" w:line="240" w:lineRule="auto"/>
    </w:pPr>
    <w:rPr>
      <w:rFonts w:ascii="Times New Roman" w:eastAsia="Calibri" w:hAnsi="Times New Roman" w:cs="Times New Roman"/>
      <w:sz w:val="20"/>
      <w:szCs w:val="20"/>
      <w:lang w:eastAsia="ru-RU"/>
    </w:rPr>
  </w:style>
  <w:style w:type="paragraph" w:styleId="ab">
    <w:name w:val="List Paragraph"/>
    <w:basedOn w:val="a"/>
    <w:uiPriority w:val="34"/>
    <w:qFormat/>
    <w:rsid w:val="00343F74"/>
    <w:pPr>
      <w:spacing w:after="200" w:line="276" w:lineRule="auto"/>
      <w:ind w:left="720"/>
      <w:contextualSpacing/>
    </w:pPr>
    <w:rPr>
      <w:rFonts w:eastAsiaTheme="minorEastAsia"/>
      <w:lang w:eastAsia="ru-RU"/>
    </w:rPr>
  </w:style>
  <w:style w:type="paragraph" w:styleId="ac">
    <w:name w:val="Body Text"/>
    <w:basedOn w:val="a"/>
    <w:link w:val="ad"/>
    <w:rsid w:val="00D218D4"/>
    <w:pPr>
      <w:spacing w:after="0" w:line="240" w:lineRule="auto"/>
      <w:jc w:val="both"/>
    </w:pPr>
    <w:rPr>
      <w:rFonts w:ascii="Times New Roman" w:eastAsia="Times New Roman" w:hAnsi="Times New Roman" w:cs="Times New Roman"/>
      <w:sz w:val="26"/>
      <w:szCs w:val="26"/>
      <w:lang w:val="x-none" w:eastAsia="x-none"/>
    </w:rPr>
  </w:style>
  <w:style w:type="character" w:customStyle="1" w:styleId="ad">
    <w:name w:val="Основной текст Знак"/>
    <w:basedOn w:val="a0"/>
    <w:link w:val="ac"/>
    <w:rsid w:val="00D218D4"/>
    <w:rPr>
      <w:rFonts w:ascii="Times New Roman" w:eastAsia="Times New Roman" w:hAnsi="Times New Roman" w:cs="Times New Roman"/>
      <w:sz w:val="26"/>
      <w:szCs w:val="26"/>
      <w:lang w:val="x-none" w:eastAsia="x-none"/>
    </w:rPr>
  </w:style>
  <w:style w:type="paragraph" w:styleId="ae">
    <w:name w:val="header"/>
    <w:basedOn w:val="a"/>
    <w:link w:val="af"/>
    <w:uiPriority w:val="99"/>
    <w:unhideWhenUsed/>
    <w:rsid w:val="0007542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75427"/>
  </w:style>
  <w:style w:type="paragraph" w:styleId="af0">
    <w:name w:val="footer"/>
    <w:basedOn w:val="a"/>
    <w:link w:val="af1"/>
    <w:uiPriority w:val="99"/>
    <w:unhideWhenUsed/>
    <w:rsid w:val="0007542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75427"/>
  </w:style>
  <w:style w:type="character" w:styleId="af2">
    <w:name w:val="Hyperlink"/>
    <w:basedOn w:val="a0"/>
    <w:uiPriority w:val="99"/>
    <w:unhideWhenUsed/>
    <w:rsid w:val="00DB7C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1775">
      <w:bodyDiv w:val="1"/>
      <w:marLeft w:val="0"/>
      <w:marRight w:val="0"/>
      <w:marTop w:val="0"/>
      <w:marBottom w:val="0"/>
      <w:divBdr>
        <w:top w:val="none" w:sz="0" w:space="0" w:color="auto"/>
        <w:left w:val="none" w:sz="0" w:space="0" w:color="auto"/>
        <w:bottom w:val="none" w:sz="0" w:space="0" w:color="auto"/>
        <w:right w:val="none" w:sz="0" w:space="0" w:color="auto"/>
      </w:divBdr>
    </w:div>
    <w:div w:id="118108796">
      <w:bodyDiv w:val="1"/>
      <w:marLeft w:val="0"/>
      <w:marRight w:val="0"/>
      <w:marTop w:val="0"/>
      <w:marBottom w:val="0"/>
      <w:divBdr>
        <w:top w:val="none" w:sz="0" w:space="0" w:color="auto"/>
        <w:left w:val="none" w:sz="0" w:space="0" w:color="auto"/>
        <w:bottom w:val="none" w:sz="0" w:space="0" w:color="auto"/>
        <w:right w:val="none" w:sz="0" w:space="0" w:color="auto"/>
      </w:divBdr>
    </w:div>
    <w:div w:id="818497146">
      <w:bodyDiv w:val="1"/>
      <w:marLeft w:val="0"/>
      <w:marRight w:val="0"/>
      <w:marTop w:val="0"/>
      <w:marBottom w:val="0"/>
      <w:divBdr>
        <w:top w:val="none" w:sz="0" w:space="0" w:color="auto"/>
        <w:left w:val="none" w:sz="0" w:space="0" w:color="auto"/>
        <w:bottom w:val="none" w:sz="0" w:space="0" w:color="auto"/>
        <w:right w:val="none" w:sz="0" w:space="0" w:color="auto"/>
      </w:divBdr>
    </w:div>
    <w:div w:id="1108310667">
      <w:bodyDiv w:val="1"/>
      <w:marLeft w:val="0"/>
      <w:marRight w:val="0"/>
      <w:marTop w:val="0"/>
      <w:marBottom w:val="0"/>
      <w:divBdr>
        <w:top w:val="none" w:sz="0" w:space="0" w:color="auto"/>
        <w:left w:val="none" w:sz="0" w:space="0" w:color="auto"/>
        <w:bottom w:val="none" w:sz="0" w:space="0" w:color="auto"/>
        <w:right w:val="none" w:sz="0" w:space="0" w:color="auto"/>
      </w:divBdr>
    </w:div>
    <w:div w:id="1232151866">
      <w:bodyDiv w:val="1"/>
      <w:marLeft w:val="0"/>
      <w:marRight w:val="0"/>
      <w:marTop w:val="0"/>
      <w:marBottom w:val="0"/>
      <w:divBdr>
        <w:top w:val="none" w:sz="0" w:space="0" w:color="auto"/>
        <w:left w:val="none" w:sz="0" w:space="0" w:color="auto"/>
        <w:bottom w:val="none" w:sz="0" w:space="0" w:color="auto"/>
        <w:right w:val="none" w:sz="0" w:space="0" w:color="auto"/>
      </w:divBdr>
    </w:div>
    <w:div w:id="1667436789">
      <w:bodyDiv w:val="1"/>
      <w:marLeft w:val="0"/>
      <w:marRight w:val="0"/>
      <w:marTop w:val="0"/>
      <w:marBottom w:val="0"/>
      <w:divBdr>
        <w:top w:val="none" w:sz="0" w:space="0" w:color="auto"/>
        <w:left w:val="none" w:sz="0" w:space="0" w:color="auto"/>
        <w:bottom w:val="none" w:sz="0" w:space="0" w:color="auto"/>
        <w:right w:val="none" w:sz="0" w:space="0" w:color="auto"/>
      </w:divBdr>
    </w:div>
    <w:div w:id="190089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B7FC8-90B8-4AB3-ADC0-B8780B436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7551</Words>
  <Characters>43044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Наталья Анатольевна</dc:creator>
  <cp:keywords/>
  <dc:description/>
  <cp:lastModifiedBy>Середкина Оксана Геннадьевна</cp:lastModifiedBy>
  <cp:revision>5</cp:revision>
  <cp:lastPrinted>2021-04-27T10:35:00Z</cp:lastPrinted>
  <dcterms:created xsi:type="dcterms:W3CDTF">2021-04-28T05:30:00Z</dcterms:created>
  <dcterms:modified xsi:type="dcterms:W3CDTF">2021-05-04T12:12:00Z</dcterms:modified>
</cp:coreProperties>
</file>